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78B47" w14:textId="77777777" w:rsidR="00F92A0A" w:rsidRDefault="00F5640A" w:rsidP="00F5640A">
      <w:pPr>
        <w:pStyle w:val="BodyText"/>
        <w:spacing w:before="0"/>
        <w:ind w:left="0"/>
        <w:jc w:val="center"/>
        <w:rPr>
          <w:sz w:val="20"/>
          <w:vertAlign w:val="subscript"/>
        </w:rPr>
      </w:pPr>
      <w:bookmarkStart w:id="0" w:name="POLICY"/>
      <w:bookmarkEnd w:id="0"/>
      <w:r>
        <w:rPr>
          <w:noProof/>
          <w:lang w:val="en-US"/>
        </w:rPr>
        <w:drawing>
          <wp:inline distT="0" distB="0" distL="0" distR="0" wp14:anchorId="247C0C16" wp14:editId="45E86A14">
            <wp:extent cx="4486275" cy="1352550"/>
            <wp:effectExtent l="19050" t="0" r="9525" b="0"/>
            <wp:docPr id="1" name="Picture 1" descr="final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al2"/>
                    <pic:cNvPicPr>
                      <a:picLocks noChangeAspect="1" noChangeArrowheads="1"/>
                    </pic:cNvPicPr>
                  </pic:nvPicPr>
                  <pic:blipFill>
                    <a:blip r:embed="rId8" cstate="print"/>
                    <a:srcRect/>
                    <a:stretch>
                      <a:fillRect/>
                    </a:stretch>
                  </pic:blipFill>
                  <pic:spPr bwMode="auto">
                    <a:xfrm>
                      <a:off x="0" y="0"/>
                      <a:ext cx="4486275" cy="1352550"/>
                    </a:xfrm>
                    <a:prstGeom prst="rect">
                      <a:avLst/>
                    </a:prstGeom>
                    <a:noFill/>
                    <a:ln w="9525">
                      <a:noFill/>
                      <a:miter lim="800000"/>
                      <a:headEnd/>
                      <a:tailEnd/>
                    </a:ln>
                  </pic:spPr>
                </pic:pic>
              </a:graphicData>
            </a:graphic>
          </wp:inline>
        </w:drawing>
      </w:r>
    </w:p>
    <w:p w14:paraId="0C16FAFA" w14:textId="77777777" w:rsidR="00F5640A" w:rsidRDefault="00F5640A" w:rsidP="00F5640A">
      <w:pPr>
        <w:pStyle w:val="BodyText"/>
        <w:spacing w:before="0"/>
        <w:ind w:left="0"/>
        <w:jc w:val="center"/>
        <w:rPr>
          <w:sz w:val="20"/>
          <w:vertAlign w:val="subscript"/>
        </w:rPr>
      </w:pPr>
    </w:p>
    <w:p w14:paraId="68A70B5B" w14:textId="77777777" w:rsidR="00F5640A" w:rsidRDefault="00F5640A" w:rsidP="00F5640A">
      <w:pPr>
        <w:pStyle w:val="BodyText"/>
        <w:spacing w:before="0"/>
        <w:ind w:left="0"/>
        <w:jc w:val="center"/>
        <w:rPr>
          <w:sz w:val="20"/>
          <w:vertAlign w:val="subscript"/>
        </w:rPr>
      </w:pPr>
    </w:p>
    <w:p w14:paraId="6B6B8749" w14:textId="77777777" w:rsidR="00F5640A" w:rsidRPr="006746D9" w:rsidRDefault="00F5640A" w:rsidP="00F5640A">
      <w:pPr>
        <w:pStyle w:val="BodyText"/>
        <w:spacing w:before="0"/>
        <w:ind w:left="0"/>
        <w:jc w:val="center"/>
        <w:rPr>
          <w:sz w:val="20"/>
          <w:vertAlign w:val="subscript"/>
        </w:rPr>
      </w:pPr>
    </w:p>
    <w:p w14:paraId="1731E492" w14:textId="77777777" w:rsidR="00C60725" w:rsidRDefault="0020215A">
      <w:pPr>
        <w:pStyle w:val="Heading1"/>
        <w:spacing w:before="80"/>
        <w:ind w:left="120"/>
      </w:pPr>
      <w:r>
        <w:t>POLÍTICA</w:t>
      </w:r>
    </w:p>
    <w:p w14:paraId="701A81FD" w14:textId="77777777" w:rsidR="00C60725" w:rsidRDefault="00BC7428">
      <w:pPr>
        <w:pStyle w:val="BodyText"/>
        <w:spacing w:before="113"/>
        <w:ind w:left="120" w:right="369"/>
      </w:pPr>
      <w:r>
        <w:t xml:space="preserve">El Distrito de Salud del Condado de Morrow (MCHD o el Distrito) en relación comercial con Pioneer Memorial Hospital &amp; Nursing Facility, Pioneer Memorial Clinic, Pioneer Memorial Home Health and Hospice, Irrigon Medical Clinic y Ione Community Clinic están comprometidos a brindar asistencia financiera a las personas con necesidades de atención médica que no estén aseguradas, estén infraaseguradas, que no sean elegibles para un programa gubernamental o que no puedan pagar la atención médica necesaria a causa de su situación económica.  MCHD brinda servicios de asistencia financiara para personas con necesidades económicas a renunciar a parte o al total de los cargos que MCHD cobra. MCHD brindará, sin discriminar, atención para afecciones médicas de emergencia sin importar la elegibilidad para asistencia financiera o del gobierno de una persona.  </w:t>
      </w:r>
    </w:p>
    <w:p w14:paraId="43F9B5A7" w14:textId="77777777" w:rsidR="008C4897" w:rsidRDefault="0020215A" w:rsidP="002E53C0">
      <w:pPr>
        <w:pStyle w:val="BodyText"/>
        <w:spacing w:before="113"/>
        <w:ind w:left="120" w:right="369"/>
      </w:pPr>
      <w:r>
        <w:t>Esta política de asistencia financiera (FAP):</w:t>
      </w:r>
    </w:p>
    <w:p w14:paraId="5DBAB37D" w14:textId="77777777" w:rsidR="00C60725" w:rsidRPr="002E53C0" w:rsidRDefault="0020215A" w:rsidP="002E53C0">
      <w:pPr>
        <w:pStyle w:val="ListParagraph"/>
        <w:numPr>
          <w:ilvl w:val="0"/>
          <w:numId w:val="2"/>
        </w:numPr>
        <w:tabs>
          <w:tab w:val="left" w:pos="828"/>
        </w:tabs>
        <w:spacing w:before="121" w:line="237" w:lineRule="auto"/>
        <w:ind w:right="974"/>
        <w:rPr>
          <w:sz w:val="24"/>
        </w:rPr>
      </w:pPr>
      <w:r>
        <w:rPr>
          <w:sz w:val="24"/>
        </w:rPr>
        <w:t>Incluye criterios de elegibilidad para asistencia financiera.</w:t>
      </w:r>
    </w:p>
    <w:p w14:paraId="5E84AADC" w14:textId="77777777" w:rsidR="00C60725" w:rsidRDefault="0020215A">
      <w:pPr>
        <w:pStyle w:val="ListParagraph"/>
        <w:numPr>
          <w:ilvl w:val="0"/>
          <w:numId w:val="2"/>
        </w:numPr>
        <w:tabs>
          <w:tab w:val="left" w:pos="828"/>
        </w:tabs>
        <w:spacing w:before="121" w:line="237" w:lineRule="auto"/>
        <w:ind w:right="974"/>
        <w:rPr>
          <w:sz w:val="24"/>
        </w:rPr>
      </w:pPr>
      <w:r>
        <w:rPr>
          <w:sz w:val="24"/>
        </w:rPr>
        <w:t>Describe las bases para calcular los montos cobrados a pacientes elegibles para asistencia financiera bajo esta política.</w:t>
      </w:r>
    </w:p>
    <w:p w14:paraId="229B9BB5" w14:textId="77777777" w:rsidR="00C60725" w:rsidRDefault="0020215A">
      <w:pPr>
        <w:pStyle w:val="ListParagraph"/>
        <w:numPr>
          <w:ilvl w:val="0"/>
          <w:numId w:val="2"/>
        </w:numPr>
        <w:tabs>
          <w:tab w:val="left" w:pos="828"/>
        </w:tabs>
        <w:spacing w:before="122"/>
        <w:rPr>
          <w:sz w:val="24"/>
        </w:rPr>
      </w:pPr>
      <w:r>
        <w:rPr>
          <w:sz w:val="24"/>
        </w:rPr>
        <w:t>Describe el método mediante el cual los pacientes pueden solicitar asistencia financiera.</w:t>
      </w:r>
    </w:p>
    <w:p w14:paraId="46B123CE" w14:textId="77777777" w:rsidR="00C60725" w:rsidRDefault="0020215A">
      <w:pPr>
        <w:pStyle w:val="ListParagraph"/>
        <w:numPr>
          <w:ilvl w:val="0"/>
          <w:numId w:val="2"/>
        </w:numPr>
        <w:tabs>
          <w:tab w:val="left" w:pos="828"/>
        </w:tabs>
        <w:ind w:right="535"/>
        <w:rPr>
          <w:sz w:val="24"/>
        </w:rPr>
      </w:pPr>
      <w:r>
        <w:rPr>
          <w:sz w:val="24"/>
        </w:rPr>
        <w:t>Describe la forma en la que el Distrito publicará la política dentro de las comunidades a las que sirve.</w:t>
      </w:r>
    </w:p>
    <w:p w14:paraId="14B76064" w14:textId="77777777" w:rsidR="00C60725" w:rsidRDefault="0020215A">
      <w:pPr>
        <w:pStyle w:val="ListParagraph"/>
        <w:numPr>
          <w:ilvl w:val="0"/>
          <w:numId w:val="2"/>
        </w:numPr>
        <w:tabs>
          <w:tab w:val="left" w:pos="828"/>
        </w:tabs>
        <w:spacing w:before="125" w:line="237" w:lineRule="auto"/>
        <w:ind w:right="936"/>
        <w:rPr>
          <w:sz w:val="24"/>
        </w:rPr>
      </w:pPr>
      <w:r>
        <w:rPr>
          <w:sz w:val="24"/>
        </w:rPr>
        <w:t>Limita las cantidades que MHCD cobra por atención de emergencia u otra atención médicamente necesaria prestada a individuos elegibles para asistencia financiera por la cantidad que generalmente recibe MCHD por los pacientes de Medicare.</w:t>
      </w:r>
    </w:p>
    <w:p w14:paraId="59F9ABE7" w14:textId="77777777" w:rsidR="00C60725" w:rsidRDefault="0020215A">
      <w:pPr>
        <w:pStyle w:val="BodyText"/>
        <w:spacing w:before="120"/>
        <w:ind w:left="119" w:right="477"/>
      </w:pPr>
      <w:r>
        <w:t>La asistencia financiera no se considera un sustituto de la responsabilidad personal. Se espera que los pacientes cooperen con el proceso de MCHD para obtener otras formas de pago y con el proceso de solicitud de asistencia financiera; y que contribuyan al pago de su atención en base a su capacidad individual de pago.</w:t>
      </w:r>
    </w:p>
    <w:p w14:paraId="5A449302" w14:textId="77777777" w:rsidR="00C60725" w:rsidRDefault="0020215A">
      <w:pPr>
        <w:pStyle w:val="BodyText"/>
        <w:spacing w:before="120"/>
        <w:ind w:left="119" w:right="369"/>
      </w:pPr>
      <w:r>
        <w:t>Para poder administrar sus recursos responsablemente y para permitir que MCHD preste el nivel adecuado de asistencia al mayor número de personas necesitadas, el Distrito establece las siguientes pautas para la provisión de asistencia financiera.</w:t>
      </w:r>
    </w:p>
    <w:p w14:paraId="13C8A89E" w14:textId="77777777" w:rsidR="00C60725" w:rsidRDefault="0020215A">
      <w:pPr>
        <w:pStyle w:val="Heading1"/>
        <w:ind w:left="120"/>
      </w:pPr>
      <w:bookmarkStart w:id="1" w:name="Definitions"/>
      <w:bookmarkEnd w:id="1"/>
      <w:r>
        <w:t>Definiciones</w:t>
      </w:r>
    </w:p>
    <w:p w14:paraId="13F976AA" w14:textId="77777777" w:rsidR="00C60725" w:rsidRDefault="0020215A">
      <w:pPr>
        <w:pStyle w:val="BodyText"/>
        <w:spacing w:before="113"/>
        <w:ind w:left="120"/>
      </w:pPr>
      <w:r>
        <w:t>Para los propósitos de esta política, los términos a continuación se definen de la siguiente manera:</w:t>
      </w:r>
    </w:p>
    <w:p w14:paraId="644A1340" w14:textId="77777777" w:rsidR="00C60725" w:rsidRDefault="0020215A">
      <w:pPr>
        <w:spacing w:before="119"/>
        <w:ind w:left="120" w:right="369"/>
        <w:rPr>
          <w:sz w:val="24"/>
        </w:rPr>
      </w:pPr>
      <w:r>
        <w:rPr>
          <w:b/>
          <w:sz w:val="24"/>
        </w:rPr>
        <w:t xml:space="preserve">Asistencia financiera: </w:t>
      </w:r>
      <w:r>
        <w:rPr>
          <w:sz w:val="24"/>
        </w:rPr>
        <w:t xml:space="preserve">Servicios de salud que hayan o vayan a ser provistos de forma gratuita o </w:t>
      </w:r>
      <w:r>
        <w:rPr>
          <w:sz w:val="24"/>
        </w:rPr>
        <w:lastRenderedPageBreak/>
        <w:t>con descuento para las personas que cumplan los criterios establecidos.</w:t>
      </w:r>
    </w:p>
    <w:p w14:paraId="08D160A2" w14:textId="77777777" w:rsidR="00C60725" w:rsidRDefault="0020215A">
      <w:pPr>
        <w:pStyle w:val="BodyText"/>
        <w:ind w:left="120" w:right="396"/>
      </w:pPr>
      <w:r>
        <w:rPr>
          <w:b/>
        </w:rPr>
        <w:t xml:space="preserve">Familia: </w:t>
      </w:r>
      <w:r>
        <w:t xml:space="preserve">Según la definición del Departamento de Censos, un grupo de dos o más personas que residen juntas y están relacionadas por nacimiento, matrimonio o adopción.  De acuerdo con las reglas del Departamento de Hacienda, si el paciente reclama a alguien como dependiente para que figure en su declaración de impuestos, también pueden ser considerados dependientes a fines de provisión de asistencia financiera. </w:t>
      </w:r>
    </w:p>
    <w:p w14:paraId="6374ED48" w14:textId="77777777" w:rsidR="00C60725" w:rsidRDefault="0020215A">
      <w:pPr>
        <w:pStyle w:val="BodyText"/>
        <w:ind w:left="120" w:right="621"/>
      </w:pPr>
      <w:r>
        <w:rPr>
          <w:b/>
        </w:rPr>
        <w:t xml:space="preserve">Ingreso familiar: </w:t>
      </w:r>
      <w:r>
        <w:t>El ingreso se determina usando la definición del Departamento de Censos, que usa el siguiente ingreso al computar las pautas del nivel federal de pobreza:</w:t>
      </w:r>
    </w:p>
    <w:p w14:paraId="17BFD979" w14:textId="77777777" w:rsidR="00C60725" w:rsidRPr="005045E9" w:rsidRDefault="0020215A" w:rsidP="00F7186D">
      <w:pPr>
        <w:pStyle w:val="ListParagraph"/>
        <w:numPr>
          <w:ilvl w:val="0"/>
          <w:numId w:val="2"/>
        </w:numPr>
        <w:tabs>
          <w:tab w:val="left" w:pos="828"/>
        </w:tabs>
        <w:spacing w:before="90"/>
        <w:ind w:left="808" w:right="424"/>
        <w:rPr>
          <w:sz w:val="24"/>
          <w:szCs w:val="24"/>
        </w:rPr>
      </w:pPr>
      <w:r>
        <w:rPr>
          <w:sz w:val="24"/>
          <w:szCs w:val="24"/>
        </w:rPr>
        <w:t xml:space="preserve">Incluye ganancias, compensación por desempleo, compensación al trabajador, Seguridad Social, Seguridad de Ingreso Suplementario, asistencia públicas, pagos a veteranos, beneficios de supervivientes, ingreso por pensión o jubilación, intereses, dividendos, rentas, regalías, ingresos por patrimonios, fideicomisos, asistencia educativa, manutención conyugal, manutención infantil, asistencia del exterior del hogar y otras fuentes diferentes. </w:t>
      </w:r>
    </w:p>
    <w:p w14:paraId="3606A32A" w14:textId="77777777" w:rsidR="00C60725" w:rsidRDefault="0020215A">
      <w:pPr>
        <w:pStyle w:val="ListParagraph"/>
        <w:numPr>
          <w:ilvl w:val="0"/>
          <w:numId w:val="2"/>
        </w:numPr>
        <w:tabs>
          <w:tab w:val="left" w:pos="808"/>
        </w:tabs>
        <w:spacing w:before="122"/>
        <w:ind w:left="808"/>
        <w:rPr>
          <w:sz w:val="24"/>
        </w:rPr>
      </w:pPr>
      <w:r>
        <w:rPr>
          <w:sz w:val="24"/>
        </w:rPr>
        <w:t>Se determina en base antes de impuestos.</w:t>
      </w:r>
    </w:p>
    <w:p w14:paraId="37AE628B" w14:textId="77777777" w:rsidR="00C60725" w:rsidRDefault="0020215A">
      <w:pPr>
        <w:pStyle w:val="ListParagraph"/>
        <w:numPr>
          <w:ilvl w:val="0"/>
          <w:numId w:val="2"/>
        </w:numPr>
        <w:tabs>
          <w:tab w:val="left" w:pos="808"/>
        </w:tabs>
        <w:ind w:left="808"/>
        <w:rPr>
          <w:sz w:val="24"/>
        </w:rPr>
      </w:pPr>
      <w:r>
        <w:rPr>
          <w:b/>
          <w:sz w:val="24"/>
        </w:rPr>
        <w:t xml:space="preserve">Se excluyen </w:t>
      </w:r>
      <w:r>
        <w:rPr>
          <w:sz w:val="24"/>
        </w:rPr>
        <w:t>los beneficios que no son en efectivo (como estampillas de alimentos y subsidios de vivienda).</w:t>
      </w:r>
    </w:p>
    <w:p w14:paraId="380731A2" w14:textId="77777777" w:rsidR="00C60725" w:rsidRDefault="0020215A">
      <w:pPr>
        <w:pStyle w:val="ListParagraph"/>
        <w:numPr>
          <w:ilvl w:val="0"/>
          <w:numId w:val="2"/>
        </w:numPr>
        <w:tabs>
          <w:tab w:val="left" w:pos="808"/>
        </w:tabs>
        <w:ind w:left="808"/>
        <w:rPr>
          <w:sz w:val="24"/>
        </w:rPr>
      </w:pPr>
      <w:r>
        <w:rPr>
          <w:sz w:val="24"/>
        </w:rPr>
        <w:t xml:space="preserve">Las plusvalías y las minusvalías </w:t>
      </w:r>
      <w:r>
        <w:rPr>
          <w:b/>
          <w:sz w:val="24"/>
        </w:rPr>
        <w:t>están excluidas.</w:t>
      </w:r>
    </w:p>
    <w:p w14:paraId="0707E41B" w14:textId="77777777" w:rsidR="00C60725" w:rsidRDefault="0020215A">
      <w:pPr>
        <w:pStyle w:val="ListParagraph"/>
        <w:numPr>
          <w:ilvl w:val="0"/>
          <w:numId w:val="2"/>
        </w:numPr>
        <w:tabs>
          <w:tab w:val="left" w:pos="808"/>
        </w:tabs>
        <w:ind w:left="808" w:right="421"/>
        <w:rPr>
          <w:sz w:val="24"/>
        </w:rPr>
      </w:pPr>
      <w:r>
        <w:rPr>
          <w:sz w:val="24"/>
        </w:rPr>
        <w:t xml:space="preserve">Si una persona vive con una familia, debe incluir el ingreso de todos los familiares (los que no sean parientes, como los compañeros de habitación, </w:t>
      </w:r>
      <w:r>
        <w:rPr>
          <w:b/>
          <w:sz w:val="24"/>
        </w:rPr>
        <w:t>no se deben incluir</w:t>
      </w:r>
      <w:r>
        <w:rPr>
          <w:sz w:val="24"/>
        </w:rPr>
        <w:t>).</w:t>
      </w:r>
    </w:p>
    <w:p w14:paraId="54C68186" w14:textId="77777777" w:rsidR="00C60725" w:rsidRDefault="0020215A">
      <w:pPr>
        <w:pStyle w:val="BodyText"/>
        <w:spacing w:before="120"/>
        <w:ind w:left="100" w:right="455"/>
      </w:pPr>
      <w:r>
        <w:rPr>
          <w:b/>
        </w:rPr>
        <w:t xml:space="preserve">No asegurado: </w:t>
      </w:r>
      <w:r>
        <w:t>Aquellos pacientes sin ninguna clase de seguro o asistencia de terceros para ayudar a satisfacer sus obligaciones como paciente.</w:t>
      </w:r>
    </w:p>
    <w:p w14:paraId="5E63E7D7" w14:textId="77777777" w:rsidR="00C60725" w:rsidRDefault="0020215A">
      <w:pPr>
        <w:pStyle w:val="BodyText"/>
        <w:spacing w:before="120"/>
        <w:ind w:left="100" w:right="781"/>
      </w:pPr>
      <w:r>
        <w:rPr>
          <w:b/>
        </w:rPr>
        <w:t xml:space="preserve">Infraasegurado: </w:t>
      </w:r>
      <w:r>
        <w:t>El paciente tiene algún tipo de seguro o asistencia de terceros, pero tiene que hacer pagos de su propio bolsillo que exceden su capacidad financiera.</w:t>
      </w:r>
    </w:p>
    <w:p w14:paraId="39C20E1B" w14:textId="77777777" w:rsidR="00C60725" w:rsidRDefault="0020215A">
      <w:pPr>
        <w:pStyle w:val="BodyText"/>
        <w:spacing w:before="120"/>
        <w:ind w:left="100" w:right="479"/>
      </w:pPr>
      <w:r>
        <w:rPr>
          <w:b/>
        </w:rPr>
        <w:t xml:space="preserve">Cargos brutos: </w:t>
      </w:r>
      <w:r>
        <w:t>Los cargos totales del total de las tarifas establecidas por el Distrito para la prestación de atención médica de un paciente, antes de que se apliquen las deducciones de ingresos.</w:t>
      </w:r>
    </w:p>
    <w:p w14:paraId="64A3E3F8" w14:textId="77777777" w:rsidR="00C60725" w:rsidRDefault="0020215A">
      <w:pPr>
        <w:spacing w:before="120"/>
        <w:ind w:left="100" w:right="455"/>
        <w:rPr>
          <w:sz w:val="24"/>
        </w:rPr>
      </w:pPr>
      <w:r>
        <w:rPr>
          <w:b/>
          <w:sz w:val="24"/>
        </w:rPr>
        <w:t xml:space="preserve">Afecciones médicas de emergencia: </w:t>
      </w:r>
      <w:r>
        <w:rPr>
          <w:sz w:val="24"/>
        </w:rPr>
        <w:t>Se definen en la sección 1867 la Ley de Seguridad Social (42 U.S.C. 1395dd).</w:t>
      </w:r>
    </w:p>
    <w:p w14:paraId="7E6D89D7" w14:textId="77777777" w:rsidR="00C60725" w:rsidRDefault="0020215A">
      <w:pPr>
        <w:pStyle w:val="BodyText"/>
        <w:spacing w:before="120"/>
        <w:ind w:left="100" w:right="650"/>
      </w:pPr>
      <w:r>
        <w:rPr>
          <w:b/>
        </w:rPr>
        <w:t xml:space="preserve">Médicamente necesario: </w:t>
      </w:r>
      <w:r>
        <w:t>Según la definición de Medicare, los servicios o elementos razonablemente necesarios para el diagnóstico o tratamiento de una enfermedad o lesión.</w:t>
      </w:r>
    </w:p>
    <w:p w14:paraId="4B4DFAC3" w14:textId="77777777" w:rsidR="008C4897" w:rsidRDefault="008C4897" w:rsidP="008C4897">
      <w:pPr>
        <w:pStyle w:val="BodyText"/>
        <w:spacing w:before="120"/>
        <w:ind w:left="100" w:right="650"/>
      </w:pPr>
      <w:r>
        <w:rPr>
          <w:b/>
        </w:rPr>
        <w:t xml:space="preserve">Periodo de solicitud:  </w:t>
      </w:r>
      <w:r>
        <w:t xml:space="preserve">El periodo de tiempo que comienza con la fecha de la primera factura y termina 240 días después. </w:t>
      </w:r>
    </w:p>
    <w:p w14:paraId="0999D5D9" w14:textId="77777777" w:rsidR="008C4897" w:rsidRDefault="008C4897" w:rsidP="008C4897">
      <w:pPr>
        <w:pStyle w:val="BodyText"/>
        <w:spacing w:before="120"/>
        <w:ind w:left="100" w:right="650"/>
      </w:pPr>
      <w:r>
        <w:rPr>
          <w:b/>
        </w:rPr>
        <w:t xml:space="preserve">Garante:  </w:t>
      </w:r>
      <w:r>
        <w:t>El paciente u otro individuo financieramente responsable por las obligaciones de pago del paciente.</w:t>
      </w:r>
    </w:p>
    <w:p w14:paraId="6DAD927D" w14:textId="77777777" w:rsidR="008C4897" w:rsidRPr="00F92A0A" w:rsidRDefault="008C4897">
      <w:pPr>
        <w:pStyle w:val="BodyText"/>
        <w:spacing w:before="120"/>
        <w:ind w:left="100" w:right="650"/>
        <w:rPr>
          <w:sz w:val="16"/>
          <w:szCs w:val="16"/>
        </w:rPr>
      </w:pPr>
    </w:p>
    <w:p w14:paraId="36D9A924" w14:textId="77777777" w:rsidR="00C60725" w:rsidRDefault="0020215A">
      <w:pPr>
        <w:pStyle w:val="Heading1"/>
      </w:pPr>
      <w:bookmarkStart w:id="2" w:name="Procedures"/>
      <w:bookmarkEnd w:id="2"/>
      <w:r>
        <w:t>Procedimientos</w:t>
      </w:r>
    </w:p>
    <w:p w14:paraId="573A9AED" w14:textId="77777777" w:rsidR="00C60725" w:rsidRDefault="0020215A">
      <w:pPr>
        <w:pStyle w:val="ListParagraph"/>
        <w:numPr>
          <w:ilvl w:val="0"/>
          <w:numId w:val="1"/>
        </w:numPr>
        <w:tabs>
          <w:tab w:val="left" w:pos="808"/>
        </w:tabs>
        <w:spacing w:before="113"/>
        <w:ind w:right="416"/>
        <w:rPr>
          <w:sz w:val="24"/>
        </w:rPr>
      </w:pPr>
      <w:r>
        <w:rPr>
          <w:b/>
          <w:sz w:val="24"/>
        </w:rPr>
        <w:t>Servicios elegibles bajo esta política.</w:t>
      </w:r>
      <w:r>
        <w:rPr>
          <w:sz w:val="24"/>
        </w:rPr>
        <w:t xml:space="preserve"> Para los propósitos de esta política, la asistencia financiera hacer referencia a los servicios de salud prestados por MCHD de forma gratuita o con descuento a los pacientes que califiquen. Los siguientes servicios de salud son elegibles para asistencia financiera:</w:t>
      </w:r>
    </w:p>
    <w:p w14:paraId="7E564F8F" w14:textId="77777777" w:rsidR="00C60725" w:rsidRPr="00D84C2E" w:rsidRDefault="00D84C2E" w:rsidP="00D84C2E">
      <w:pPr>
        <w:pStyle w:val="ListParagraph"/>
        <w:numPr>
          <w:ilvl w:val="1"/>
          <w:numId w:val="1"/>
        </w:numPr>
        <w:tabs>
          <w:tab w:val="left" w:pos="1514"/>
        </w:tabs>
        <w:spacing w:before="120"/>
        <w:ind w:right="1259" w:hanging="283"/>
        <w:rPr>
          <w:sz w:val="24"/>
        </w:rPr>
      </w:pPr>
      <w:r>
        <w:rPr>
          <w:sz w:val="24"/>
        </w:rPr>
        <w:lastRenderedPageBreak/>
        <w:t xml:space="preserve">Se brindan todos los servicios no electivos y médicamente necesarios de hospital, ambulancia, salud en el hogar, hospicio, diagnóstico y clínico.  </w:t>
      </w:r>
    </w:p>
    <w:p w14:paraId="50371C81" w14:textId="77777777" w:rsidR="00C60725" w:rsidRDefault="0020215A">
      <w:pPr>
        <w:pStyle w:val="ListParagraph"/>
        <w:numPr>
          <w:ilvl w:val="0"/>
          <w:numId w:val="1"/>
        </w:numPr>
        <w:tabs>
          <w:tab w:val="left" w:pos="808"/>
        </w:tabs>
        <w:spacing w:before="217"/>
        <w:ind w:right="558"/>
        <w:rPr>
          <w:sz w:val="24"/>
        </w:rPr>
      </w:pPr>
      <w:r>
        <w:rPr>
          <w:b/>
          <w:sz w:val="24"/>
        </w:rPr>
        <w:t>Elegibilidad para asistencia financiera.</w:t>
      </w:r>
      <w:r>
        <w:rPr>
          <w:sz w:val="24"/>
        </w:rPr>
        <w:t xml:space="preserve"> Se considerará la elegibilidad para asistencia financiera para aquellas personas que no tengan seguro, estén infraaseguradas, que no sean elegibles para ningún programa gubernamental de salud y que no puedan pagar por su atención médica, basado en la determinación de la necesidad financiera de acuerdo con esta política. La concesión de asistencia financiera se basará en una determinación individual de necesidad financiera, y no considera la edad, el género, raza, condición social o de inmigración, orientación sexual o afiliación religiosa. </w:t>
      </w:r>
    </w:p>
    <w:p w14:paraId="6D4D6EEE" w14:textId="77777777" w:rsidR="00C60725" w:rsidRDefault="0020215A">
      <w:pPr>
        <w:pStyle w:val="Heading2"/>
        <w:numPr>
          <w:ilvl w:val="0"/>
          <w:numId w:val="1"/>
        </w:numPr>
        <w:tabs>
          <w:tab w:val="left" w:pos="808"/>
        </w:tabs>
      </w:pPr>
      <w:r>
        <w:t>Método mediante el cual los pacientes pueden solicitar asistencia financiera.</w:t>
      </w:r>
    </w:p>
    <w:p w14:paraId="4EA59A25" w14:textId="77777777" w:rsidR="00C60725" w:rsidRDefault="0020215A">
      <w:pPr>
        <w:pStyle w:val="ListParagraph"/>
        <w:numPr>
          <w:ilvl w:val="1"/>
          <w:numId w:val="1"/>
        </w:numPr>
        <w:tabs>
          <w:tab w:val="left" w:pos="1514"/>
        </w:tabs>
        <w:ind w:right="590" w:hanging="283"/>
        <w:rPr>
          <w:sz w:val="24"/>
        </w:rPr>
      </w:pPr>
      <w:r>
        <w:rPr>
          <w:sz w:val="24"/>
        </w:rPr>
        <w:t>Se determinará la necesidad financiera de acuerdo a los procedimientos que implican una evaluación de necesidad financiera. Además:</w:t>
      </w:r>
    </w:p>
    <w:p w14:paraId="421756AE" w14:textId="77777777" w:rsidR="004E6F55" w:rsidRDefault="0020215A" w:rsidP="004E6F55">
      <w:pPr>
        <w:pStyle w:val="ListParagraph"/>
        <w:numPr>
          <w:ilvl w:val="2"/>
          <w:numId w:val="1"/>
        </w:numPr>
        <w:tabs>
          <w:tab w:val="left" w:pos="2222"/>
        </w:tabs>
        <w:ind w:right="621" w:hanging="283"/>
        <w:rPr>
          <w:sz w:val="24"/>
        </w:rPr>
      </w:pPr>
      <w:r>
        <w:rPr>
          <w:sz w:val="24"/>
        </w:rPr>
        <w:t xml:space="preserve">Incluye un proceso de solicitud, en el cual el garante del paciente tiene la obligación de cooperar y brindar información y documentación personal y financiera, entre otras, dentro del periodo de solicitud para llegar a una determinación de necesidad financiera. </w:t>
      </w:r>
    </w:p>
    <w:p w14:paraId="146537DE" w14:textId="77777777" w:rsidR="00C60725" w:rsidRPr="004E6F55" w:rsidRDefault="004E6F55" w:rsidP="004E6F55">
      <w:pPr>
        <w:pStyle w:val="ListParagraph"/>
        <w:tabs>
          <w:tab w:val="left" w:pos="2222"/>
        </w:tabs>
        <w:ind w:left="2221" w:right="621" w:firstLine="0"/>
        <w:rPr>
          <w:sz w:val="24"/>
        </w:rPr>
      </w:pPr>
      <w:r>
        <w:rPr>
          <w:sz w:val="24"/>
        </w:rPr>
        <w:t xml:space="preserve">Puede encontrar la solicitud de asistencia financiera en </w:t>
      </w:r>
      <w:hyperlink r:id="rId9" w:history="1">
        <w:r>
          <w:rPr>
            <w:rStyle w:val="Hyperlink"/>
            <w:sz w:val="24"/>
          </w:rPr>
          <w:t>www.morrowcountyhealthdistrict.org</w:t>
        </w:r>
      </w:hyperlink>
    </w:p>
    <w:p w14:paraId="0A1CED49" w14:textId="77777777" w:rsidR="00C60725" w:rsidRDefault="0020215A">
      <w:pPr>
        <w:pStyle w:val="ListParagraph"/>
        <w:numPr>
          <w:ilvl w:val="2"/>
          <w:numId w:val="1"/>
        </w:numPr>
        <w:tabs>
          <w:tab w:val="left" w:pos="2222"/>
        </w:tabs>
        <w:ind w:right="1006" w:hanging="283"/>
        <w:rPr>
          <w:sz w:val="24"/>
        </w:rPr>
      </w:pPr>
      <w:r>
        <w:rPr>
          <w:sz w:val="24"/>
        </w:rPr>
        <w:t>Incluye esfuerzos razonables por parte de MCHD para: explorar fuentes alternativas de pago y cobertura apropiadas de parte de programas públicos y privados; y para asistir a pacientes a solicitar dichos programas.</w:t>
      </w:r>
    </w:p>
    <w:p w14:paraId="12C7AE63" w14:textId="77777777" w:rsidR="00C60725" w:rsidRDefault="0020215A">
      <w:pPr>
        <w:pStyle w:val="ListParagraph"/>
        <w:numPr>
          <w:ilvl w:val="2"/>
          <w:numId w:val="1"/>
        </w:numPr>
        <w:tabs>
          <w:tab w:val="left" w:pos="2222"/>
        </w:tabs>
        <w:ind w:right="929" w:hanging="283"/>
        <w:rPr>
          <w:sz w:val="24"/>
        </w:rPr>
      </w:pPr>
      <w:r>
        <w:rPr>
          <w:sz w:val="24"/>
        </w:rPr>
        <w:t>Tiene en cuenta los bienes y otros recursos financieros disponibles del paciente.</w:t>
      </w:r>
    </w:p>
    <w:p w14:paraId="1179CD88" w14:textId="77777777" w:rsidR="00C60725" w:rsidRDefault="0020215A">
      <w:pPr>
        <w:pStyle w:val="ListParagraph"/>
        <w:numPr>
          <w:ilvl w:val="2"/>
          <w:numId w:val="1"/>
        </w:numPr>
        <w:tabs>
          <w:tab w:val="left" w:pos="2222"/>
        </w:tabs>
        <w:ind w:right="562" w:hanging="283"/>
        <w:rPr>
          <w:sz w:val="24"/>
        </w:rPr>
      </w:pPr>
      <w:r>
        <w:rPr>
          <w:sz w:val="24"/>
        </w:rPr>
        <w:t>Incluye una revisión de las cuentas pendientes por cobrar del paciente por servicios prestados anteriormente y el historial de pagos del paciente.</w:t>
      </w:r>
    </w:p>
    <w:p w14:paraId="08CE8B6A" w14:textId="77777777" w:rsidR="009F520A" w:rsidRDefault="009F520A" w:rsidP="009F520A">
      <w:pPr>
        <w:pStyle w:val="ListParagraph"/>
        <w:numPr>
          <w:ilvl w:val="1"/>
          <w:numId w:val="1"/>
        </w:numPr>
        <w:tabs>
          <w:tab w:val="left" w:pos="1514"/>
        </w:tabs>
        <w:spacing w:before="115"/>
        <w:ind w:hanging="283"/>
        <w:rPr>
          <w:sz w:val="24"/>
        </w:rPr>
      </w:pPr>
      <w:r>
        <w:rPr>
          <w:sz w:val="24"/>
        </w:rPr>
        <w:t>Documentación requerida para la asistencia financiera de MHCD:</w:t>
      </w:r>
    </w:p>
    <w:p w14:paraId="76C70D0A" w14:textId="77777777" w:rsidR="009F520A" w:rsidRDefault="009F520A" w:rsidP="009F520A">
      <w:pPr>
        <w:pStyle w:val="BodyText"/>
        <w:jc w:val="both"/>
      </w:pPr>
      <w:r>
        <w:t>Para que se considere completa, una solicitud debe incluir lo siguiente:</w:t>
      </w:r>
    </w:p>
    <w:p w14:paraId="4D4C26ED" w14:textId="77777777" w:rsidR="009F520A" w:rsidRDefault="009F520A" w:rsidP="009F520A">
      <w:pPr>
        <w:pStyle w:val="ListParagraph"/>
        <w:numPr>
          <w:ilvl w:val="2"/>
          <w:numId w:val="1"/>
        </w:numPr>
        <w:tabs>
          <w:tab w:val="left" w:pos="2222"/>
        </w:tabs>
        <w:ind w:hanging="283"/>
        <w:rPr>
          <w:sz w:val="24"/>
        </w:rPr>
      </w:pPr>
      <w:r>
        <w:rPr>
          <w:sz w:val="24"/>
        </w:rPr>
        <w:t>Solicitud de asistencia financiera (solicitud FA) completa y firmada.</w:t>
      </w:r>
    </w:p>
    <w:p w14:paraId="7D7E3A52" w14:textId="77777777" w:rsidR="009F520A" w:rsidRDefault="009F520A" w:rsidP="009F520A">
      <w:pPr>
        <w:pStyle w:val="ListParagraph"/>
        <w:numPr>
          <w:ilvl w:val="2"/>
          <w:numId w:val="1"/>
        </w:numPr>
        <w:tabs>
          <w:tab w:val="left" w:pos="2222"/>
        </w:tabs>
        <w:ind w:right="575" w:hanging="283"/>
        <w:rPr>
          <w:sz w:val="24"/>
        </w:rPr>
      </w:pPr>
      <w:r>
        <w:rPr>
          <w:sz w:val="24"/>
        </w:rPr>
        <w:t>Copias de la declaración federal de impuestos del año anterior (formulario 1040 o similar), incluyendo todos horarios.</w:t>
      </w:r>
    </w:p>
    <w:p w14:paraId="6E904F07" w14:textId="77777777" w:rsidR="009F520A" w:rsidRDefault="009F520A" w:rsidP="009F520A">
      <w:pPr>
        <w:pStyle w:val="ListParagraph"/>
        <w:numPr>
          <w:ilvl w:val="2"/>
          <w:numId w:val="1"/>
        </w:numPr>
        <w:tabs>
          <w:tab w:val="left" w:pos="2222"/>
        </w:tabs>
        <w:ind w:right="458" w:hanging="283"/>
        <w:rPr>
          <w:sz w:val="24"/>
        </w:rPr>
      </w:pPr>
      <w:r>
        <w:rPr>
          <w:sz w:val="24"/>
        </w:rPr>
        <w:t>Si aplica, verificación del ingreso familiar actual; algunos ejemplos son: talones de pago de los últimos 3 meses, beneficios de pensión y jubilación, beneficios Seguridad Social, compensación por desempleo, compensación a trabajadores, beneficios a veteranos, etc.</w:t>
      </w:r>
    </w:p>
    <w:p w14:paraId="3134A778" w14:textId="77777777" w:rsidR="00EF6564" w:rsidRDefault="00EF6564" w:rsidP="009F520A">
      <w:pPr>
        <w:pStyle w:val="ListParagraph"/>
        <w:numPr>
          <w:ilvl w:val="2"/>
          <w:numId w:val="1"/>
        </w:numPr>
        <w:tabs>
          <w:tab w:val="left" w:pos="2222"/>
        </w:tabs>
        <w:ind w:right="458" w:hanging="283"/>
        <w:rPr>
          <w:sz w:val="24"/>
        </w:rPr>
      </w:pPr>
      <w:r>
        <w:rPr>
          <w:sz w:val="24"/>
        </w:rPr>
        <w:t>Prueba de seguro o de que haya presentado una solicitud para pedir cobertura.</w:t>
      </w:r>
    </w:p>
    <w:p w14:paraId="4C097E09" w14:textId="77777777" w:rsidR="00EF6564" w:rsidRDefault="00EF6564" w:rsidP="009F520A">
      <w:pPr>
        <w:pStyle w:val="ListParagraph"/>
        <w:numPr>
          <w:ilvl w:val="2"/>
          <w:numId w:val="1"/>
        </w:numPr>
        <w:tabs>
          <w:tab w:val="left" w:pos="2222"/>
        </w:tabs>
        <w:ind w:right="458" w:hanging="283"/>
        <w:rPr>
          <w:sz w:val="24"/>
        </w:rPr>
      </w:pPr>
      <w:r>
        <w:rPr>
          <w:sz w:val="24"/>
        </w:rPr>
        <w:t xml:space="preserve">Copia de licencia de conducir, identificación emitida por el estado u otra identificación con foto. </w:t>
      </w:r>
    </w:p>
    <w:p w14:paraId="2334F823" w14:textId="77777777" w:rsidR="00F841DD" w:rsidRDefault="009F520A" w:rsidP="00F841DD">
      <w:pPr>
        <w:pStyle w:val="BodyText"/>
        <w:ind w:left="1527" w:right="846"/>
        <w:jc w:val="both"/>
      </w:pPr>
      <w:r>
        <w:t xml:space="preserve">Si una persona o su familia no tiene fuente de ingresos, se aceptará una carta de adversidad económica o una carta de respaldo. MHCD puede solicitar otra documentación para verificar información en la solicitud de asistencia </w:t>
      </w:r>
      <w:r>
        <w:lastRenderedPageBreak/>
        <w:t>financiera.</w:t>
      </w:r>
    </w:p>
    <w:p w14:paraId="42201A86" w14:textId="77777777" w:rsidR="00C60725" w:rsidRPr="009F520A" w:rsidRDefault="0020215A" w:rsidP="002E53C0">
      <w:pPr>
        <w:pStyle w:val="ListParagraph"/>
        <w:numPr>
          <w:ilvl w:val="1"/>
          <w:numId w:val="1"/>
        </w:numPr>
        <w:tabs>
          <w:tab w:val="left" w:pos="1514"/>
        </w:tabs>
        <w:ind w:right="493" w:hanging="283"/>
        <w:rPr>
          <w:sz w:val="24"/>
        </w:rPr>
      </w:pPr>
      <w:r>
        <w:rPr>
          <w:sz w:val="24"/>
        </w:rPr>
        <w:t>Para servicios que no están identificados como una afección médica de emergencia, se prefiere, aunque no es obligatorio, que la solicitud y la determinación de asistencia financiera se hagan antes de prestar los servicios. Sin embargo, se puede llegar a la determinación en cualquier momento antes, durante o después de recibir la atención médica. La necesidad de asistencia financiera será reevaluada cada vez que se necesite atención médica en el caso que la última evaluación financiera se hubiese completado más de año antes de la fecha de servicio, o en cualquier momento que se sepa que haya nueva información relevante a la elegibilidad del paciente para la asistencia financiera.</w:t>
      </w:r>
    </w:p>
    <w:p w14:paraId="64A66F47" w14:textId="77777777" w:rsidR="00C60725" w:rsidRDefault="0020215A">
      <w:pPr>
        <w:pStyle w:val="ListParagraph"/>
        <w:numPr>
          <w:ilvl w:val="1"/>
          <w:numId w:val="1"/>
        </w:numPr>
        <w:tabs>
          <w:tab w:val="left" w:pos="1514"/>
        </w:tabs>
        <w:ind w:right="493" w:hanging="283"/>
        <w:rPr>
          <w:sz w:val="24"/>
        </w:rPr>
      </w:pPr>
      <w:r>
        <w:rPr>
          <w:sz w:val="24"/>
        </w:rPr>
        <w:t>Solicitud FA incompleta: si una persona presenta una solicitud FA incompleta durante el periodo de aplicación, el hospital le enviará a dicha persona un aviso por escrito en el que detalla la información o documentación adicional necesaria de acuerdo a la FAP o al formulario de solicitud FA.</w:t>
      </w:r>
    </w:p>
    <w:p w14:paraId="6007E682" w14:textId="77777777" w:rsidR="00C60725" w:rsidRDefault="0020215A" w:rsidP="009F520A">
      <w:pPr>
        <w:pStyle w:val="BodyText"/>
        <w:ind w:left="1539"/>
      </w:pPr>
      <w:r>
        <w:t>Si la solicitud FA se completa subsecuentemente durante el periodo de solicitud, se considerará que esa persona presentó una solicitud FA completa durante el periodo de aplicación.</w:t>
      </w:r>
    </w:p>
    <w:p w14:paraId="2A2302C3" w14:textId="77777777" w:rsidR="00C60725" w:rsidRDefault="00BC7428">
      <w:pPr>
        <w:pStyle w:val="ListParagraph"/>
        <w:numPr>
          <w:ilvl w:val="1"/>
          <w:numId w:val="1"/>
        </w:numPr>
        <w:tabs>
          <w:tab w:val="left" w:pos="1514"/>
        </w:tabs>
        <w:spacing w:before="120"/>
        <w:ind w:right="467" w:hanging="283"/>
        <w:rPr>
          <w:sz w:val="24"/>
        </w:rPr>
      </w:pPr>
      <w:r>
        <w:rPr>
          <w:sz w:val="24"/>
        </w:rPr>
        <w:t xml:space="preserve">El respeto de MCHD por la dignidad humana y la responsabilidad en la administración se verán reflejados en el proceso de solicitud, en la determinación de necesidad financiera y en la concesión de asistencia financiera.  Las solicitudes de asistencia financiera se procesarán con rapidez y MCHD notificará al solicitante de sobre la determinación y la cantidad del descuento por escrito, dentro de los 14 días de la recepción de una solicitud completa.  Se incluirá un acuerdo por un pago mensual razonable sobre cualquier monte restante adeudado.  No se cobrará intereses en la cuenta siempre y cuando los pagos obligatorios se hagan todos los meses.  Si no se hacen los pagos, el Distrito cumplirá con la política de facturación y cobro de deudas de MCHD, que se puede buscar en </w:t>
      </w:r>
      <w:hyperlink r:id="rId10" w:history="1">
        <w:r>
          <w:rPr>
            <w:rStyle w:val="Hyperlink"/>
            <w:sz w:val="24"/>
          </w:rPr>
          <w:t>www.morrowcountyhealthdistrict.org</w:t>
        </w:r>
      </w:hyperlink>
    </w:p>
    <w:p w14:paraId="1C2DBE25" w14:textId="77777777" w:rsidR="00C42A38" w:rsidRPr="00F92A0A" w:rsidRDefault="00C42A38" w:rsidP="00C42A38">
      <w:pPr>
        <w:pStyle w:val="ListParagraph"/>
        <w:tabs>
          <w:tab w:val="left" w:pos="1514"/>
        </w:tabs>
        <w:spacing w:before="120"/>
        <w:ind w:right="467" w:firstLine="0"/>
        <w:rPr>
          <w:sz w:val="14"/>
          <w:szCs w:val="12"/>
        </w:rPr>
      </w:pPr>
    </w:p>
    <w:p w14:paraId="21E459F9" w14:textId="77777777" w:rsidR="00C60725" w:rsidRDefault="0020215A">
      <w:pPr>
        <w:pStyle w:val="ListParagraph"/>
        <w:numPr>
          <w:ilvl w:val="0"/>
          <w:numId w:val="1"/>
        </w:numPr>
        <w:tabs>
          <w:tab w:val="left" w:pos="808"/>
        </w:tabs>
        <w:spacing w:before="217"/>
        <w:ind w:right="420"/>
        <w:rPr>
          <w:sz w:val="24"/>
        </w:rPr>
      </w:pPr>
      <w:r>
        <w:rPr>
          <w:b/>
          <w:sz w:val="24"/>
        </w:rPr>
        <w:t xml:space="preserve">Presunción de elegibilidad de asistencia financiera. </w:t>
      </w:r>
      <w:r>
        <w:rPr>
          <w:sz w:val="24"/>
        </w:rPr>
        <w:t>Hay casos en los que el paciente parece ser elegible para descuentos de asistencia financiera, pero no hay una solicitud de asistencia financiera en el registro debido a falta de documentación de respaldo. A menudo el paciente brinda información adecuado a través de otros medios, que podrían ofrecer evidencia suficiente para brindarle asistencia financiera. En el caso que no haya evidencia para respaldar la elegibilidad del paciente para asistencia financiera, MCHD puede usar agencias externas para determinar el ingreso estimado para poder determinar la elegibilidad y posibles cantidades de descuento. Una vez determinado, debido a la naturaleza inherente de las circunstancias presuntivas, se cancelará el 100% del saldo de la cuenta. La elegibilidad presuntiva se determina en base a las circunstancias de vida individuales, que pueden incluir:</w:t>
      </w:r>
    </w:p>
    <w:p w14:paraId="505C78B4" w14:textId="77777777" w:rsidR="00C60725" w:rsidRDefault="0020215A">
      <w:pPr>
        <w:pStyle w:val="ListParagraph"/>
        <w:numPr>
          <w:ilvl w:val="1"/>
          <w:numId w:val="1"/>
        </w:numPr>
        <w:tabs>
          <w:tab w:val="left" w:pos="1514"/>
        </w:tabs>
        <w:spacing w:before="120"/>
        <w:ind w:hanging="283"/>
        <w:rPr>
          <w:sz w:val="24"/>
        </w:rPr>
      </w:pPr>
      <w:r>
        <w:rPr>
          <w:sz w:val="24"/>
        </w:rPr>
        <w:t>Programas de prescripciones financiados por el estado.</w:t>
      </w:r>
    </w:p>
    <w:p w14:paraId="068F63AA" w14:textId="77777777" w:rsidR="00C60725" w:rsidRDefault="0020215A">
      <w:pPr>
        <w:pStyle w:val="ListParagraph"/>
        <w:numPr>
          <w:ilvl w:val="1"/>
          <w:numId w:val="1"/>
        </w:numPr>
        <w:tabs>
          <w:tab w:val="left" w:pos="1514"/>
        </w:tabs>
        <w:spacing w:before="120"/>
        <w:ind w:hanging="283"/>
        <w:rPr>
          <w:sz w:val="24"/>
        </w:rPr>
      </w:pPr>
      <w:r>
        <w:rPr>
          <w:sz w:val="24"/>
        </w:rPr>
        <w:t>Es una persona sin hogar o recibió atención en una clínica para personas sin hogar.</w:t>
      </w:r>
    </w:p>
    <w:p w14:paraId="45EF352B" w14:textId="77777777" w:rsidR="00C60725" w:rsidRDefault="0020215A">
      <w:pPr>
        <w:pStyle w:val="ListParagraph"/>
        <w:numPr>
          <w:ilvl w:val="1"/>
          <w:numId w:val="1"/>
        </w:numPr>
        <w:tabs>
          <w:tab w:val="left" w:pos="1514"/>
        </w:tabs>
        <w:spacing w:before="120"/>
        <w:ind w:hanging="283"/>
        <w:rPr>
          <w:sz w:val="24"/>
        </w:rPr>
      </w:pPr>
      <w:r>
        <w:rPr>
          <w:sz w:val="24"/>
        </w:rPr>
        <w:t>Participación en programas Mujer, Bebés y Niños (WIC).</w:t>
      </w:r>
    </w:p>
    <w:p w14:paraId="04D7863F" w14:textId="77777777" w:rsidR="00C60725" w:rsidRDefault="0020215A">
      <w:pPr>
        <w:pStyle w:val="ListParagraph"/>
        <w:numPr>
          <w:ilvl w:val="1"/>
          <w:numId w:val="1"/>
        </w:numPr>
        <w:tabs>
          <w:tab w:val="left" w:pos="1514"/>
        </w:tabs>
        <w:spacing w:before="120"/>
        <w:ind w:hanging="283"/>
        <w:rPr>
          <w:sz w:val="24"/>
        </w:rPr>
      </w:pPr>
      <w:r>
        <w:rPr>
          <w:sz w:val="24"/>
        </w:rPr>
        <w:t>Elegibilidad para estampillas de alimentos.</w:t>
      </w:r>
    </w:p>
    <w:p w14:paraId="5B45C746" w14:textId="77777777" w:rsidR="00C60725" w:rsidRDefault="0020215A">
      <w:pPr>
        <w:pStyle w:val="ListParagraph"/>
        <w:numPr>
          <w:ilvl w:val="1"/>
          <w:numId w:val="1"/>
        </w:numPr>
        <w:tabs>
          <w:tab w:val="left" w:pos="1514"/>
        </w:tabs>
        <w:spacing w:before="120"/>
        <w:ind w:hanging="283"/>
        <w:rPr>
          <w:sz w:val="24"/>
        </w:rPr>
      </w:pPr>
      <w:r>
        <w:rPr>
          <w:sz w:val="24"/>
        </w:rPr>
        <w:t>Elegibilidad para programa de almuerzo escolar subsidiado.</w:t>
      </w:r>
    </w:p>
    <w:p w14:paraId="1EFA9E99" w14:textId="77777777" w:rsidR="00C60725" w:rsidRPr="004D7D4D" w:rsidRDefault="0020215A" w:rsidP="004D7D4D">
      <w:pPr>
        <w:pStyle w:val="ListParagraph"/>
        <w:numPr>
          <w:ilvl w:val="1"/>
          <w:numId w:val="1"/>
        </w:numPr>
        <w:tabs>
          <w:tab w:val="left" w:pos="1514"/>
        </w:tabs>
        <w:spacing w:before="120"/>
        <w:ind w:right="899" w:hanging="283"/>
        <w:rPr>
          <w:sz w:val="24"/>
        </w:rPr>
      </w:pPr>
      <w:r>
        <w:rPr>
          <w:sz w:val="24"/>
        </w:rPr>
        <w:lastRenderedPageBreak/>
        <w:t xml:space="preserve">Elegibilidad para otros programas de asistencia local o estatal. </w:t>
      </w:r>
    </w:p>
    <w:p w14:paraId="0FA32914" w14:textId="77777777" w:rsidR="00C60725" w:rsidRDefault="0020215A">
      <w:pPr>
        <w:pStyle w:val="ListParagraph"/>
        <w:numPr>
          <w:ilvl w:val="1"/>
          <w:numId w:val="1"/>
        </w:numPr>
        <w:tabs>
          <w:tab w:val="left" w:pos="1514"/>
        </w:tabs>
        <w:spacing w:before="120"/>
        <w:ind w:hanging="283"/>
        <w:rPr>
          <w:sz w:val="24"/>
        </w:rPr>
      </w:pPr>
      <w:r>
        <w:rPr>
          <w:sz w:val="24"/>
        </w:rPr>
        <w:t>Brinda como dirección válida una vivienda subsidiada/de bajos ingresos.</w:t>
      </w:r>
    </w:p>
    <w:p w14:paraId="016BA169" w14:textId="77777777" w:rsidR="00C60725" w:rsidRDefault="0020215A">
      <w:pPr>
        <w:pStyle w:val="ListParagraph"/>
        <w:numPr>
          <w:ilvl w:val="1"/>
          <w:numId w:val="1"/>
        </w:numPr>
        <w:tabs>
          <w:tab w:val="left" w:pos="1514"/>
        </w:tabs>
        <w:spacing w:before="120"/>
        <w:ind w:hanging="283"/>
        <w:rPr>
          <w:sz w:val="24"/>
        </w:rPr>
      </w:pPr>
      <w:r>
        <w:rPr>
          <w:sz w:val="24"/>
        </w:rPr>
        <w:t>El paciente ha fallecido sin propiedades conocidas.</w:t>
      </w:r>
    </w:p>
    <w:p w14:paraId="191BF504" w14:textId="77777777" w:rsidR="00C60725" w:rsidRPr="00F92A0A" w:rsidRDefault="00C60725">
      <w:pPr>
        <w:pStyle w:val="BodyText"/>
        <w:spacing w:before="0"/>
        <w:ind w:left="0"/>
        <w:rPr>
          <w:sz w:val="18"/>
          <w:szCs w:val="16"/>
        </w:rPr>
      </w:pPr>
    </w:p>
    <w:p w14:paraId="609352F3" w14:textId="77777777" w:rsidR="00C60725" w:rsidRDefault="0020215A">
      <w:pPr>
        <w:pStyle w:val="ListParagraph"/>
        <w:numPr>
          <w:ilvl w:val="0"/>
          <w:numId w:val="1"/>
        </w:numPr>
        <w:tabs>
          <w:tab w:val="left" w:pos="808"/>
        </w:tabs>
        <w:spacing w:before="217"/>
        <w:ind w:right="413"/>
        <w:rPr>
          <w:sz w:val="24"/>
        </w:rPr>
      </w:pPr>
      <w:r>
        <w:rPr>
          <w:b/>
          <w:sz w:val="24"/>
        </w:rPr>
        <w:t>Criterios de elegibilidad y montos cobrados a los pacientes.</w:t>
      </w:r>
      <w:r>
        <w:rPr>
          <w:sz w:val="24"/>
        </w:rPr>
        <w:t xml:space="preserve"> Los servicios elegibles bajo esta política se pondrán a disponibilidad del paciente con descuentos acordes a su ingreso, de acuerdo con su necesidad financiera, según lo determinen los niveles federales de pobreza (FPL) vigentes al momento de la determinación. Una vez que MCHD haya determinado que el paciente es elegible para la asistencia financiera, dicho paciente no recibirá más facturas de cargos brutos no descontados. A continuación se detallan las bases para los montos que MCHD cobrará a los pacientes que califiquen para asistencia financiera:</w:t>
      </w:r>
    </w:p>
    <w:p w14:paraId="0EE217F9" w14:textId="77777777" w:rsidR="00C60725" w:rsidRPr="00085AD2" w:rsidRDefault="0020215A" w:rsidP="001C15E1">
      <w:pPr>
        <w:pStyle w:val="ListParagraph"/>
        <w:numPr>
          <w:ilvl w:val="0"/>
          <w:numId w:val="5"/>
        </w:numPr>
        <w:ind w:left="1660"/>
      </w:pPr>
      <w:r>
        <w:t xml:space="preserve">Los pacientes cuyo ingreso familiar es igual o menor al </w:t>
      </w:r>
      <w:r w:rsidR="00C639B8">
        <w:t>200</w:t>
      </w:r>
      <w:r>
        <w:t>% del FPL son elegibles para recibir asistencia financiera total (atención médica gratuita).</w:t>
      </w:r>
    </w:p>
    <w:p w14:paraId="12BE659B" w14:textId="77777777" w:rsidR="001C15E1" w:rsidRDefault="0020215A" w:rsidP="001C15E1">
      <w:pPr>
        <w:pStyle w:val="ListParagraph"/>
        <w:numPr>
          <w:ilvl w:val="0"/>
          <w:numId w:val="5"/>
        </w:numPr>
        <w:ind w:left="1660"/>
      </w:pPr>
      <w:r>
        <w:t xml:space="preserve">Los pacientes cuyo ingreso familiar mayor al </w:t>
      </w:r>
      <w:r w:rsidR="00C639B8">
        <w:t>200</w:t>
      </w:r>
      <w:r>
        <w:t xml:space="preserve">% del FPL pero no mayor al </w:t>
      </w:r>
      <w:r w:rsidR="00C639B8">
        <w:t>400</w:t>
      </w:r>
      <w:r>
        <w:t xml:space="preserve">% del FPL son elegibles para recibir descuentos en los servicios de acuerdo a sus ingresos. </w:t>
      </w:r>
    </w:p>
    <w:p w14:paraId="2D4C9CFD" w14:textId="77777777" w:rsidR="001C15E1" w:rsidRDefault="001C15E1" w:rsidP="001C15E1">
      <w:pPr>
        <w:pStyle w:val="ListParagraph"/>
        <w:numPr>
          <w:ilvl w:val="0"/>
          <w:numId w:val="5"/>
        </w:numPr>
        <w:ind w:left="1660"/>
      </w:pPr>
      <w:r>
        <w:t xml:space="preserve">Consulte el </w:t>
      </w:r>
      <w:r>
        <w:rPr>
          <w:b/>
          <w:u w:val="single"/>
        </w:rPr>
        <w:t>Adjunto 1</w:t>
      </w:r>
      <w:r>
        <w:t xml:space="preserve"> para ver la tabla de ingresos y los descuentos ofrecidos bajo esta política.</w:t>
      </w:r>
    </w:p>
    <w:p w14:paraId="6F2F59CB" w14:textId="77777777" w:rsidR="001C15E1" w:rsidRDefault="0020215A" w:rsidP="001C15E1">
      <w:pPr>
        <w:pStyle w:val="ListParagraph"/>
        <w:numPr>
          <w:ilvl w:val="0"/>
          <w:numId w:val="5"/>
        </w:numPr>
        <w:ind w:left="1660"/>
      </w:pPr>
      <w:r>
        <w:t xml:space="preserve">Se descontarán los servicios por un monto no mayor a los que MCHD recibe generalmente por los pacientes de Medicare.  MCHD usa el metido de revisión retroactiva para calcular las cantidades generalmente facturados (AGB) anualmente. El porcentaje de AGB se calcula usando el método de revisión retroactiva al dividir la suma de reclamos de honorario por servicio autorizados para atención médicamente necesaria por la suma de los cargos brutos asociados a esos reclamos.  Para el año fiscal </w:t>
      </w:r>
      <w:r w:rsidR="00CB2DA6">
        <w:t>2020-2021</w:t>
      </w:r>
      <w:r>
        <w:t xml:space="preserve"> el reembolso de Medicare es mayor que los cargos permitidos debido a la metodología de reembolso de hospitales de acceso crítico, en donde al hospital se le pagan montos iguales a sus costos por brindar atención médica.  Por lo tanto el descuento de las AGB es 0% para el año fiscal </w:t>
      </w:r>
      <w:r w:rsidR="00CB2DA6">
        <w:t>2020-2021</w:t>
      </w:r>
      <w:r>
        <w:t>.</w:t>
      </w:r>
    </w:p>
    <w:p w14:paraId="0694B051" w14:textId="77777777" w:rsidR="00C60725" w:rsidRDefault="0020215A">
      <w:pPr>
        <w:pStyle w:val="ListParagraph"/>
        <w:numPr>
          <w:ilvl w:val="0"/>
          <w:numId w:val="1"/>
        </w:numPr>
        <w:tabs>
          <w:tab w:val="left" w:pos="808"/>
        </w:tabs>
        <w:spacing w:before="222"/>
        <w:ind w:right="515"/>
        <w:rPr>
          <w:sz w:val="24"/>
        </w:rPr>
      </w:pPr>
      <w:r>
        <w:rPr>
          <w:b/>
          <w:sz w:val="24"/>
        </w:rPr>
        <w:t>Comunicación de la política de asistencia financiera a pacientes y dentro de la comunidad.</w:t>
      </w:r>
      <w:r>
        <w:rPr>
          <w:sz w:val="24"/>
        </w:rPr>
        <w:t xml:space="preserve"> La notificación de la asistencia financiera a manos de MCHD será comunicada en varios medios por la misma MCHD, incluyendo, entre otros, la publicación de avisos en las facturas de pacientes y publicando avisos en salas de emergencia, en todas las áreas de recepción y admisión, en la oficina comercial del hospital y otros lugares públicos que MCHD pueda elegir.</w:t>
      </w:r>
    </w:p>
    <w:p w14:paraId="113CD8BD" w14:textId="77777777" w:rsidR="00C60725" w:rsidRDefault="00C60725">
      <w:pPr>
        <w:pStyle w:val="BodyText"/>
        <w:spacing w:before="0"/>
        <w:ind w:left="0"/>
      </w:pPr>
    </w:p>
    <w:p w14:paraId="66537ECF" w14:textId="77777777" w:rsidR="00CF6A3A" w:rsidRDefault="00BC7428">
      <w:pPr>
        <w:pStyle w:val="BodyText"/>
        <w:spacing w:before="0"/>
        <w:ind w:left="807" w:right="233"/>
      </w:pPr>
      <w:r>
        <w:t>MCHD pondrá a disponibilidad del público la política de asistencia financiera, el formulario de solicitud de asistencia financiera y un resumen en lenguaje sencillo de la FAP de las siguientes formas:</w:t>
      </w:r>
    </w:p>
    <w:p w14:paraId="2C34B539" w14:textId="77777777" w:rsidR="00CF6A3A" w:rsidRDefault="00CF6A3A" w:rsidP="00CF6A3A">
      <w:pPr>
        <w:pStyle w:val="BodyText"/>
        <w:numPr>
          <w:ilvl w:val="1"/>
          <w:numId w:val="1"/>
        </w:numPr>
        <w:spacing w:before="0"/>
        <w:ind w:right="233"/>
      </w:pPr>
      <w:r>
        <w:t>Publicado en el sitio web de MCHD.</w:t>
      </w:r>
    </w:p>
    <w:p w14:paraId="7D19265E" w14:textId="77777777" w:rsidR="00CF6A3A" w:rsidRDefault="00CF6A3A" w:rsidP="00CF6A3A">
      <w:pPr>
        <w:pStyle w:val="BodyText"/>
        <w:numPr>
          <w:ilvl w:val="1"/>
          <w:numId w:val="1"/>
        </w:numPr>
        <w:spacing w:before="0"/>
        <w:ind w:right="233"/>
      </w:pPr>
      <w:r>
        <w:t xml:space="preserve">Copias impresas sin cargo en establecimientos de MCHD, incluyendo el envío por correo de ser necesario. </w:t>
      </w:r>
    </w:p>
    <w:p w14:paraId="48E1DC1C" w14:textId="77777777" w:rsidR="00C60725" w:rsidRDefault="00CF6A3A" w:rsidP="00CF6A3A">
      <w:pPr>
        <w:pStyle w:val="BodyText"/>
        <w:numPr>
          <w:ilvl w:val="1"/>
          <w:numId w:val="1"/>
        </w:numPr>
        <w:spacing w:before="0"/>
        <w:ind w:right="233"/>
      </w:pPr>
      <w:r>
        <w:t>Copas impresas en las comunidades a las que sirve el Distrito.</w:t>
      </w:r>
    </w:p>
    <w:p w14:paraId="1BC5F0AC" w14:textId="77777777" w:rsidR="00644189" w:rsidRDefault="00644189" w:rsidP="00644189">
      <w:pPr>
        <w:pStyle w:val="BodyText"/>
        <w:spacing w:before="0"/>
        <w:ind w:right="233"/>
      </w:pPr>
    </w:p>
    <w:p w14:paraId="13AEA970" w14:textId="77777777" w:rsidR="00C60725" w:rsidRDefault="0020215A">
      <w:pPr>
        <w:pStyle w:val="BodyText"/>
        <w:spacing w:before="0"/>
        <w:ind w:left="808" w:right="519"/>
      </w:pPr>
      <w:r>
        <w:t>La FAP, el formulario de solicitud de FA y el resumen en lenguaje sencillo de la FAP se encontrarán disponibles en los principales idiomas que se hablen en las comunidades a las que sirve MCHD. Estos documentos están disponibles en inglés y en español.</w:t>
      </w:r>
    </w:p>
    <w:p w14:paraId="2EA6F4F2" w14:textId="77777777" w:rsidR="00C60725" w:rsidRDefault="0020215A">
      <w:pPr>
        <w:pStyle w:val="BodyText"/>
        <w:ind w:left="808" w:right="538"/>
        <w:jc w:val="both"/>
      </w:pPr>
      <w:r>
        <w:t xml:space="preserve">Se incluye una copia del resumen en lenguaje sencillo de la FAP en los papeles de alta </w:t>
      </w:r>
      <w:r>
        <w:lastRenderedPageBreak/>
        <w:t>que se les da a los pacientes. En cada estado de cuenta se incluye información sobre la FAP y sobre cómo obtener copias de materiales de la FAP.</w:t>
      </w:r>
    </w:p>
    <w:p w14:paraId="560FB7C9" w14:textId="77777777" w:rsidR="00C60725" w:rsidRDefault="0020215A">
      <w:pPr>
        <w:pStyle w:val="BodyText"/>
        <w:ind w:left="808" w:right="395"/>
      </w:pPr>
      <w:r>
        <w:t xml:space="preserve"> Se puede referir a pacientes en busca de asistencia financiera a cualquier miembro del personal de MCHD, incluyendo personal médico, como médicos, enfermeras, asesores financieros, trabajadores sociales y administradores de casos. La solicitud de asistencia financiera puede ser hecha por el paciente o un familiar, amigo cercano o socio del paciente, sujeto a las leyes de privacidad aplicables.</w:t>
      </w:r>
    </w:p>
    <w:p w14:paraId="340A8BFD" w14:textId="77777777" w:rsidR="00C60725" w:rsidRDefault="00C60725">
      <w:pPr>
        <w:pStyle w:val="BodyText"/>
        <w:spacing w:before="0"/>
        <w:ind w:left="0"/>
        <w:rPr>
          <w:sz w:val="26"/>
        </w:rPr>
      </w:pPr>
    </w:p>
    <w:p w14:paraId="13A926F4" w14:textId="77777777" w:rsidR="00C60725" w:rsidRDefault="0020215A">
      <w:pPr>
        <w:pStyle w:val="ListParagraph"/>
        <w:numPr>
          <w:ilvl w:val="0"/>
          <w:numId w:val="1"/>
        </w:numPr>
        <w:tabs>
          <w:tab w:val="left" w:pos="808"/>
        </w:tabs>
        <w:spacing w:before="216"/>
        <w:ind w:right="398"/>
        <w:rPr>
          <w:sz w:val="24"/>
        </w:rPr>
      </w:pPr>
      <w:r>
        <w:rPr>
          <w:b/>
          <w:sz w:val="24"/>
        </w:rPr>
        <w:t>Relación con las políticas de facturación y cobro a pacientes.</w:t>
      </w:r>
      <w:r>
        <w:rPr>
          <w:sz w:val="24"/>
        </w:rPr>
        <w:t xml:space="preserve"> La administración de MCHD mantendrá políticas y procedimientos para prácticas internas y externas de cobro de deudas (incluyendo acciones que puede tomar el Distrito en caso de falta de pago) que tienen en cuenta hasta qué punto los pacientes califican para asistencia financiera, la buena fe del paciente para solicitar un programa gubernamental o asistencia de MCHD, y la buena fe del paciente para resolver las facturas descontadas del hospital.</w:t>
      </w:r>
    </w:p>
    <w:p w14:paraId="5B482167" w14:textId="77777777" w:rsidR="00C60725" w:rsidRDefault="0020215A">
      <w:pPr>
        <w:pStyle w:val="BodyText"/>
        <w:ind w:left="819" w:right="648"/>
        <w:jc w:val="both"/>
      </w:pPr>
      <w:r>
        <w:t xml:space="preserve">Es responsabilidad de los garantes brindar la dirección correcta al momento del servicio o cuando se muden. Si la dirección en la cuenta es inválida o no se puede enviar correo, se tendrá que hacer una determinación de </w:t>
      </w:r>
      <w:r w:rsidR="00C85AC2">
        <w:t>“</w:t>
      </w:r>
      <w:r>
        <w:t>esfuerzo razonable</w:t>
      </w:r>
      <w:r w:rsidR="00C85AC2">
        <w:t>”</w:t>
      </w:r>
      <w:r>
        <w:t>.</w:t>
      </w:r>
    </w:p>
    <w:p w14:paraId="7936402F" w14:textId="77777777" w:rsidR="00C60725" w:rsidRDefault="00C60725">
      <w:pPr>
        <w:pStyle w:val="BodyText"/>
        <w:spacing w:before="3"/>
        <w:ind w:left="0"/>
        <w:rPr>
          <w:sz w:val="26"/>
        </w:rPr>
      </w:pPr>
    </w:p>
    <w:p w14:paraId="31494E20" w14:textId="77777777" w:rsidR="00950872" w:rsidRDefault="00BC7428">
      <w:pPr>
        <w:pStyle w:val="BodyText"/>
        <w:spacing w:before="92" w:line="237" w:lineRule="auto"/>
        <w:ind w:left="807" w:right="495"/>
      </w:pPr>
      <w:r>
        <w:t>MCHD pondrá su política de facturación y cobro de deudas disponible de las siguientes maneras:</w:t>
      </w:r>
    </w:p>
    <w:p w14:paraId="6446EFA0" w14:textId="77777777" w:rsidR="00950872" w:rsidRDefault="00950872" w:rsidP="00950872">
      <w:pPr>
        <w:pStyle w:val="BodyText"/>
        <w:numPr>
          <w:ilvl w:val="1"/>
          <w:numId w:val="1"/>
        </w:numPr>
        <w:spacing w:before="0"/>
        <w:ind w:right="233"/>
      </w:pPr>
      <w:r>
        <w:t>Publicado en el sitio web de MCHD.</w:t>
      </w:r>
    </w:p>
    <w:p w14:paraId="1063AA57" w14:textId="77777777" w:rsidR="00950872" w:rsidRDefault="00950872" w:rsidP="00950872">
      <w:pPr>
        <w:pStyle w:val="BodyText"/>
        <w:numPr>
          <w:ilvl w:val="1"/>
          <w:numId w:val="1"/>
        </w:numPr>
        <w:spacing w:before="0"/>
        <w:ind w:right="233"/>
      </w:pPr>
      <w:r>
        <w:t xml:space="preserve">Copias impresas sin cargo en establecimientos de MCHD, incluyendo el envío por correo de ser necesario. </w:t>
      </w:r>
    </w:p>
    <w:p w14:paraId="5A8A7D95" w14:textId="77777777" w:rsidR="00644189" w:rsidRDefault="00644189" w:rsidP="00FB6D31">
      <w:pPr>
        <w:pStyle w:val="BodyText"/>
        <w:spacing w:before="92" w:line="237" w:lineRule="auto"/>
        <w:ind w:left="1229" w:right="495"/>
      </w:pPr>
    </w:p>
    <w:p w14:paraId="0E009CE4" w14:textId="77777777" w:rsidR="00222C5D" w:rsidRDefault="00644189" w:rsidP="00644189">
      <w:pPr>
        <w:pStyle w:val="BodyText"/>
        <w:spacing w:before="92" w:line="237" w:lineRule="auto"/>
        <w:ind w:left="720" w:right="495"/>
      </w:pPr>
      <w:r>
        <w:t xml:space="preserve">Se pueden solicitar copias de la FAP de MCHD, solicitud de FA, resumen en lenguaje sencillo y la política de facturación y cobro de deudas llamando a la Oficina Comercial de Pacientes de MCHD al </w:t>
      </w:r>
    </w:p>
    <w:p w14:paraId="488F8F8C" w14:textId="77777777" w:rsidR="00950872" w:rsidRDefault="00FB6D31" w:rsidP="00FB6D31">
      <w:pPr>
        <w:pStyle w:val="BodyText"/>
        <w:spacing w:before="92" w:line="237" w:lineRule="auto"/>
        <w:ind w:left="1229" w:right="495"/>
      </w:pPr>
      <w:r>
        <w:rPr>
          <w:b/>
        </w:rPr>
        <w:t xml:space="preserve">     (541) 676-9133 o al 1-800-737-4113</w:t>
      </w:r>
      <w:r>
        <w:t xml:space="preserve">, o en persona en: </w:t>
      </w:r>
    </w:p>
    <w:p w14:paraId="4682DAF4" w14:textId="77777777" w:rsidR="00C60725" w:rsidRDefault="00222C5D" w:rsidP="00FB6D31">
      <w:pPr>
        <w:pStyle w:val="BodyText"/>
        <w:spacing w:before="92" w:line="237" w:lineRule="auto"/>
        <w:ind w:left="1440" w:right="495"/>
      </w:pPr>
      <w:r>
        <w:t>Pioneer Memorial Hospital, 564 E Pioneer Drive, Heppner OR 97836</w:t>
      </w:r>
    </w:p>
    <w:p w14:paraId="2516AE77" w14:textId="77777777" w:rsidR="00222C5D" w:rsidRDefault="00222C5D" w:rsidP="00FB6D31">
      <w:pPr>
        <w:pStyle w:val="BodyText"/>
        <w:spacing w:before="92" w:line="237" w:lineRule="auto"/>
        <w:ind w:left="1440" w:right="495"/>
      </w:pPr>
      <w:r>
        <w:t>Pioneer Memorial Clinic, 130 Thompson, Heppner OR 97836</w:t>
      </w:r>
    </w:p>
    <w:p w14:paraId="722FCD51" w14:textId="77777777" w:rsidR="00222C5D" w:rsidRDefault="00222C5D" w:rsidP="00FB6D31">
      <w:pPr>
        <w:pStyle w:val="BodyText"/>
        <w:spacing w:before="92" w:line="237" w:lineRule="auto"/>
        <w:ind w:left="1440" w:right="495"/>
      </w:pPr>
      <w:r>
        <w:t>Pioneer Memorial Home Health &amp; Hospice, 162 N Main, Heppner OR 97836</w:t>
      </w:r>
    </w:p>
    <w:p w14:paraId="2EE47E35" w14:textId="77777777" w:rsidR="00222C5D" w:rsidRDefault="00222C5D" w:rsidP="00FB6D31">
      <w:pPr>
        <w:pStyle w:val="BodyText"/>
        <w:spacing w:before="92" w:line="237" w:lineRule="auto"/>
        <w:ind w:left="1440" w:right="495"/>
      </w:pPr>
      <w:r>
        <w:t>Ione Community Clinic, 365 W 3</w:t>
      </w:r>
      <w:r>
        <w:rPr>
          <w:vertAlign w:val="superscript"/>
        </w:rPr>
        <w:t>rd</w:t>
      </w:r>
      <w:r>
        <w:t xml:space="preserve"> St, Ione OR 97843</w:t>
      </w:r>
    </w:p>
    <w:p w14:paraId="0ECA92BF" w14:textId="77777777" w:rsidR="00222C5D" w:rsidRDefault="00222C5D" w:rsidP="00FB6D31">
      <w:pPr>
        <w:pStyle w:val="BodyText"/>
        <w:spacing w:before="92" w:line="237" w:lineRule="auto"/>
        <w:ind w:left="1440" w:right="495"/>
      </w:pPr>
      <w:r>
        <w:t>Irrigon Medical Clinic, 220 N Main, Irrigon OR 97844</w:t>
      </w:r>
    </w:p>
    <w:p w14:paraId="0C6C548D" w14:textId="77777777" w:rsidR="00CB2DA6" w:rsidRDefault="00CB2DA6" w:rsidP="00FB6D31">
      <w:pPr>
        <w:pStyle w:val="BodyText"/>
        <w:spacing w:before="92" w:line="237" w:lineRule="auto"/>
        <w:ind w:left="1440" w:right="495"/>
      </w:pPr>
      <w:r>
        <w:t>Boardman Immediate Care, 101 Kinkade Road, Boardman OR 97818</w:t>
      </w:r>
    </w:p>
    <w:p w14:paraId="32F44A50" w14:textId="77777777" w:rsidR="00222C5D" w:rsidRDefault="00222C5D" w:rsidP="00FB6D31">
      <w:pPr>
        <w:pStyle w:val="BodyText"/>
        <w:spacing w:before="92" w:line="237" w:lineRule="auto"/>
        <w:ind w:left="1018" w:right="495"/>
      </w:pPr>
    </w:p>
    <w:p w14:paraId="60D3B587" w14:textId="77777777" w:rsidR="00A40895" w:rsidRPr="00A40895" w:rsidRDefault="0020215A" w:rsidP="00A40895">
      <w:pPr>
        <w:pStyle w:val="ListParagraph"/>
        <w:numPr>
          <w:ilvl w:val="0"/>
          <w:numId w:val="1"/>
        </w:numPr>
        <w:tabs>
          <w:tab w:val="left" w:pos="808"/>
        </w:tabs>
        <w:spacing w:before="223"/>
        <w:ind w:right="884"/>
        <w:jc w:val="both"/>
      </w:pPr>
      <w:r>
        <w:rPr>
          <w:b/>
          <w:sz w:val="24"/>
        </w:rPr>
        <w:t>Requisitos regulatorios.</w:t>
      </w:r>
      <w:r>
        <w:rPr>
          <w:sz w:val="24"/>
        </w:rPr>
        <w:t xml:space="preserve"> Al implementar esta política, MCHD deberá cumplir con todas las leyes, reglas y regulaciones federales, estatales y locales que puedan aplicarse a actividades realizadas en conformidad con esta política.</w:t>
      </w:r>
      <w:bookmarkStart w:id="3" w:name="Provider_Participation_List"/>
      <w:bookmarkEnd w:id="3"/>
    </w:p>
    <w:p w14:paraId="34E7ED69" w14:textId="77777777" w:rsidR="00C60725" w:rsidRPr="009674CC" w:rsidRDefault="00A40895" w:rsidP="00A40895">
      <w:pPr>
        <w:pStyle w:val="ListParagraph"/>
        <w:numPr>
          <w:ilvl w:val="0"/>
          <w:numId w:val="1"/>
        </w:numPr>
        <w:tabs>
          <w:tab w:val="left" w:pos="808"/>
        </w:tabs>
        <w:spacing w:before="223"/>
        <w:ind w:right="884"/>
        <w:jc w:val="both"/>
        <w:rPr>
          <w:b/>
          <w:sz w:val="24"/>
          <w:szCs w:val="24"/>
        </w:rPr>
      </w:pPr>
      <w:r w:rsidRPr="009674CC">
        <w:rPr>
          <w:b/>
          <w:sz w:val="24"/>
          <w:szCs w:val="24"/>
        </w:rPr>
        <w:t>Lista de proveedores participantes</w:t>
      </w:r>
    </w:p>
    <w:p w14:paraId="408BA82A" w14:textId="77777777" w:rsidR="00C60725" w:rsidRDefault="0020215A" w:rsidP="00A40895">
      <w:pPr>
        <w:spacing w:before="113"/>
        <w:ind w:left="720" w:right="1161"/>
        <w:rPr>
          <w:sz w:val="24"/>
        </w:rPr>
      </w:pPr>
      <w:r>
        <w:rPr>
          <w:sz w:val="24"/>
        </w:rPr>
        <w:t xml:space="preserve">Para ver una lista de proveedores que participan en el programa de asistencia financiera del Distrito de Salud del Condado de Morrow, consulte el </w:t>
      </w:r>
      <w:r>
        <w:rPr>
          <w:b/>
          <w:sz w:val="24"/>
          <w:u w:val="thick"/>
        </w:rPr>
        <w:t>Adjunto 2– Prestadores de FAP de MCHD.</w:t>
      </w:r>
    </w:p>
    <w:p w14:paraId="48BF36FD" w14:textId="77777777" w:rsidR="00C60725" w:rsidRDefault="00C60725">
      <w:pPr>
        <w:rPr>
          <w:sz w:val="24"/>
        </w:rPr>
        <w:sectPr w:rsidR="00C60725">
          <w:headerReference w:type="default" r:id="rId11"/>
          <w:footerReference w:type="default" r:id="rId12"/>
          <w:pgSz w:w="12240" w:h="15840"/>
          <w:pgMar w:top="1020" w:right="1060" w:bottom="900" w:left="1340" w:header="729" w:footer="704" w:gutter="0"/>
          <w:cols w:space="720"/>
        </w:sectPr>
      </w:pPr>
    </w:p>
    <w:p w14:paraId="6AAD58AE" w14:textId="77777777" w:rsidR="00C60725" w:rsidRDefault="00C60725">
      <w:pPr>
        <w:pStyle w:val="BodyText"/>
        <w:spacing w:before="8"/>
        <w:ind w:left="0"/>
        <w:rPr>
          <w:sz w:val="26"/>
        </w:rPr>
      </w:pPr>
    </w:p>
    <w:p w14:paraId="17300413" w14:textId="77777777" w:rsidR="00CB2DA6" w:rsidRDefault="00CB2DA6" w:rsidP="007A019F">
      <w:pPr>
        <w:pStyle w:val="Heading2"/>
        <w:spacing w:line="274" w:lineRule="exact"/>
        <w:ind w:firstLine="0"/>
        <w:jc w:val="center"/>
        <w:rPr>
          <w:sz w:val="23"/>
          <w:szCs w:val="23"/>
          <w:u w:val="thick"/>
        </w:rPr>
      </w:pPr>
    </w:p>
    <w:tbl>
      <w:tblPr>
        <w:tblW w:w="10155" w:type="dxa"/>
        <w:tblLook w:val="04A0" w:firstRow="1" w:lastRow="0" w:firstColumn="1" w:lastColumn="0" w:noHBand="0" w:noVBand="1"/>
      </w:tblPr>
      <w:tblGrid>
        <w:gridCol w:w="1307"/>
        <w:gridCol w:w="1770"/>
        <w:gridCol w:w="1769"/>
        <w:gridCol w:w="1769"/>
        <w:gridCol w:w="1769"/>
        <w:gridCol w:w="1771"/>
      </w:tblGrid>
      <w:tr w:rsidR="00CB2DA6" w:rsidRPr="00CB2DA6" w14:paraId="621C3BD0" w14:textId="77777777" w:rsidTr="00CB2DA6">
        <w:trPr>
          <w:trHeight w:val="278"/>
        </w:trPr>
        <w:tc>
          <w:tcPr>
            <w:tcW w:w="10155" w:type="dxa"/>
            <w:gridSpan w:val="6"/>
            <w:tcBorders>
              <w:top w:val="nil"/>
              <w:left w:val="nil"/>
              <w:bottom w:val="nil"/>
              <w:right w:val="nil"/>
            </w:tcBorders>
            <w:shd w:val="clear" w:color="auto" w:fill="auto"/>
            <w:noWrap/>
            <w:vAlign w:val="center"/>
            <w:hideMark/>
          </w:tcPr>
          <w:p w14:paraId="2818FFDB" w14:textId="77777777" w:rsidR="00CB2DA6" w:rsidRPr="00CB2DA6" w:rsidRDefault="00CB2DA6" w:rsidP="00CB2DA6">
            <w:pPr>
              <w:widowControl/>
              <w:autoSpaceDE/>
              <w:autoSpaceDN/>
              <w:jc w:val="center"/>
              <w:rPr>
                <w:b/>
                <w:bCs/>
                <w:color w:val="000000"/>
                <w:sz w:val="23"/>
                <w:szCs w:val="23"/>
                <w:u w:val="single"/>
                <w:lang w:val="en-US"/>
              </w:rPr>
            </w:pPr>
            <w:r w:rsidRPr="00CB2DA6">
              <w:rPr>
                <w:b/>
                <w:bCs/>
                <w:color w:val="000000"/>
                <w:sz w:val="23"/>
                <w:szCs w:val="23"/>
                <w:u w:val="single"/>
                <w:lang w:val="en-US"/>
              </w:rPr>
              <w:t>Políticas de asistencia financiera -  Adjunto 1</w:t>
            </w:r>
          </w:p>
        </w:tc>
      </w:tr>
      <w:tr w:rsidR="00CB2DA6" w:rsidRPr="00CB2DA6" w14:paraId="6BD2D413" w14:textId="77777777" w:rsidTr="00CB2DA6">
        <w:trPr>
          <w:trHeight w:val="278"/>
        </w:trPr>
        <w:tc>
          <w:tcPr>
            <w:tcW w:w="10155" w:type="dxa"/>
            <w:gridSpan w:val="6"/>
            <w:tcBorders>
              <w:top w:val="nil"/>
              <w:left w:val="nil"/>
              <w:bottom w:val="nil"/>
              <w:right w:val="nil"/>
            </w:tcBorders>
            <w:shd w:val="clear" w:color="auto" w:fill="auto"/>
            <w:noWrap/>
            <w:vAlign w:val="center"/>
            <w:hideMark/>
          </w:tcPr>
          <w:p w14:paraId="702F90CC" w14:textId="77777777" w:rsidR="00CB2DA6" w:rsidRPr="00CB2DA6" w:rsidRDefault="00CB2DA6" w:rsidP="00CB2DA6">
            <w:pPr>
              <w:widowControl/>
              <w:autoSpaceDE/>
              <w:autoSpaceDN/>
              <w:jc w:val="center"/>
              <w:rPr>
                <w:b/>
                <w:bCs/>
                <w:color w:val="000000"/>
                <w:sz w:val="23"/>
                <w:szCs w:val="23"/>
                <w:u w:val="single"/>
                <w:lang w:val="en-US"/>
              </w:rPr>
            </w:pPr>
            <w:r w:rsidRPr="00CB2DA6">
              <w:rPr>
                <w:b/>
                <w:bCs/>
                <w:color w:val="000000"/>
                <w:sz w:val="23"/>
                <w:szCs w:val="23"/>
                <w:u w:val="single"/>
                <w:lang w:val="en-US"/>
              </w:rPr>
              <w:t>CANTIDADES ANUALES DE INGRESOS Y DESCUENTOS SEGÚN LOS INGRESOS</w:t>
            </w:r>
          </w:p>
        </w:tc>
      </w:tr>
      <w:tr w:rsidR="00CB2DA6" w:rsidRPr="00CB2DA6" w14:paraId="3A35637A" w14:textId="77777777" w:rsidTr="00CB2DA6">
        <w:trPr>
          <w:trHeight w:val="249"/>
        </w:trPr>
        <w:tc>
          <w:tcPr>
            <w:tcW w:w="1307" w:type="dxa"/>
            <w:tcBorders>
              <w:top w:val="nil"/>
              <w:left w:val="nil"/>
              <w:bottom w:val="nil"/>
              <w:right w:val="nil"/>
            </w:tcBorders>
            <w:shd w:val="clear" w:color="auto" w:fill="auto"/>
            <w:noWrap/>
            <w:vAlign w:val="center"/>
            <w:hideMark/>
          </w:tcPr>
          <w:p w14:paraId="121EC162" w14:textId="77777777" w:rsidR="00CB2DA6" w:rsidRPr="00CB2DA6" w:rsidRDefault="00CB2DA6" w:rsidP="00CB2DA6">
            <w:pPr>
              <w:widowControl/>
              <w:autoSpaceDE/>
              <w:autoSpaceDN/>
              <w:jc w:val="center"/>
              <w:rPr>
                <w:b/>
                <w:bCs/>
                <w:color w:val="000000"/>
                <w:sz w:val="23"/>
                <w:szCs w:val="23"/>
                <w:u w:val="single"/>
                <w:lang w:val="en-US"/>
              </w:rPr>
            </w:pPr>
          </w:p>
        </w:tc>
        <w:tc>
          <w:tcPr>
            <w:tcW w:w="1770" w:type="dxa"/>
            <w:tcBorders>
              <w:top w:val="nil"/>
              <w:left w:val="nil"/>
              <w:bottom w:val="nil"/>
              <w:right w:val="nil"/>
            </w:tcBorders>
            <w:shd w:val="clear" w:color="auto" w:fill="auto"/>
            <w:noWrap/>
            <w:vAlign w:val="bottom"/>
            <w:hideMark/>
          </w:tcPr>
          <w:p w14:paraId="40ED9668" w14:textId="77777777" w:rsidR="00CB2DA6" w:rsidRPr="00CB2DA6" w:rsidRDefault="00CB2DA6" w:rsidP="00CB2DA6">
            <w:pPr>
              <w:widowControl/>
              <w:autoSpaceDE/>
              <w:autoSpaceDN/>
              <w:rPr>
                <w:sz w:val="20"/>
                <w:szCs w:val="20"/>
                <w:lang w:val="en-US"/>
              </w:rPr>
            </w:pPr>
          </w:p>
        </w:tc>
        <w:tc>
          <w:tcPr>
            <w:tcW w:w="1769" w:type="dxa"/>
            <w:tcBorders>
              <w:top w:val="nil"/>
              <w:left w:val="nil"/>
              <w:bottom w:val="nil"/>
              <w:right w:val="nil"/>
            </w:tcBorders>
            <w:shd w:val="clear" w:color="auto" w:fill="auto"/>
            <w:noWrap/>
            <w:vAlign w:val="bottom"/>
            <w:hideMark/>
          </w:tcPr>
          <w:p w14:paraId="75AFEA65" w14:textId="77777777" w:rsidR="00CB2DA6" w:rsidRPr="00CB2DA6" w:rsidRDefault="00CB2DA6" w:rsidP="00CB2DA6">
            <w:pPr>
              <w:widowControl/>
              <w:autoSpaceDE/>
              <w:autoSpaceDN/>
              <w:rPr>
                <w:sz w:val="20"/>
                <w:szCs w:val="20"/>
                <w:lang w:val="en-US"/>
              </w:rPr>
            </w:pPr>
          </w:p>
        </w:tc>
        <w:tc>
          <w:tcPr>
            <w:tcW w:w="1769" w:type="dxa"/>
            <w:tcBorders>
              <w:top w:val="nil"/>
              <w:left w:val="nil"/>
              <w:bottom w:val="nil"/>
              <w:right w:val="nil"/>
            </w:tcBorders>
            <w:shd w:val="clear" w:color="auto" w:fill="auto"/>
            <w:noWrap/>
            <w:vAlign w:val="bottom"/>
            <w:hideMark/>
          </w:tcPr>
          <w:p w14:paraId="78C023FE" w14:textId="77777777" w:rsidR="00CB2DA6" w:rsidRPr="00CB2DA6" w:rsidRDefault="00CB2DA6" w:rsidP="00CB2DA6">
            <w:pPr>
              <w:widowControl/>
              <w:autoSpaceDE/>
              <w:autoSpaceDN/>
              <w:rPr>
                <w:sz w:val="20"/>
                <w:szCs w:val="20"/>
                <w:lang w:val="en-US"/>
              </w:rPr>
            </w:pPr>
          </w:p>
        </w:tc>
        <w:tc>
          <w:tcPr>
            <w:tcW w:w="1769" w:type="dxa"/>
            <w:tcBorders>
              <w:top w:val="nil"/>
              <w:left w:val="nil"/>
              <w:bottom w:val="nil"/>
              <w:right w:val="nil"/>
            </w:tcBorders>
            <w:shd w:val="clear" w:color="auto" w:fill="auto"/>
            <w:noWrap/>
            <w:vAlign w:val="bottom"/>
            <w:hideMark/>
          </w:tcPr>
          <w:p w14:paraId="7E31B87D" w14:textId="77777777" w:rsidR="00CB2DA6" w:rsidRPr="00CB2DA6" w:rsidRDefault="00CB2DA6" w:rsidP="00CB2DA6">
            <w:pPr>
              <w:widowControl/>
              <w:autoSpaceDE/>
              <w:autoSpaceDN/>
              <w:rPr>
                <w:sz w:val="20"/>
                <w:szCs w:val="20"/>
                <w:lang w:val="en-US"/>
              </w:rPr>
            </w:pPr>
          </w:p>
        </w:tc>
        <w:tc>
          <w:tcPr>
            <w:tcW w:w="1771" w:type="dxa"/>
            <w:tcBorders>
              <w:top w:val="nil"/>
              <w:left w:val="nil"/>
              <w:bottom w:val="nil"/>
              <w:right w:val="nil"/>
            </w:tcBorders>
            <w:shd w:val="clear" w:color="auto" w:fill="auto"/>
            <w:noWrap/>
            <w:vAlign w:val="bottom"/>
            <w:hideMark/>
          </w:tcPr>
          <w:p w14:paraId="547F7EEE" w14:textId="77777777" w:rsidR="00CB2DA6" w:rsidRPr="00CB2DA6" w:rsidRDefault="00CB2DA6" w:rsidP="00CB2DA6">
            <w:pPr>
              <w:widowControl/>
              <w:autoSpaceDE/>
              <w:autoSpaceDN/>
              <w:rPr>
                <w:sz w:val="20"/>
                <w:szCs w:val="20"/>
                <w:lang w:val="en-US"/>
              </w:rPr>
            </w:pPr>
          </w:p>
        </w:tc>
      </w:tr>
      <w:tr w:rsidR="00CB2DA6" w:rsidRPr="00CB2DA6" w14:paraId="1255BEB4" w14:textId="77777777" w:rsidTr="00CB2DA6">
        <w:trPr>
          <w:trHeight w:val="322"/>
        </w:trPr>
        <w:tc>
          <w:tcPr>
            <w:tcW w:w="1307" w:type="dxa"/>
            <w:tcBorders>
              <w:top w:val="nil"/>
              <w:left w:val="nil"/>
              <w:bottom w:val="nil"/>
              <w:right w:val="nil"/>
            </w:tcBorders>
            <w:shd w:val="clear" w:color="auto" w:fill="auto"/>
            <w:noWrap/>
            <w:vAlign w:val="center"/>
            <w:hideMark/>
          </w:tcPr>
          <w:p w14:paraId="2D361231" w14:textId="77777777" w:rsidR="00CB2DA6" w:rsidRPr="00CB2DA6" w:rsidRDefault="00CB2DA6" w:rsidP="00CB2DA6">
            <w:pPr>
              <w:widowControl/>
              <w:autoSpaceDE/>
              <w:autoSpaceDN/>
              <w:rPr>
                <w:sz w:val="20"/>
                <w:szCs w:val="20"/>
                <w:lang w:val="en-US"/>
              </w:rPr>
            </w:pPr>
          </w:p>
        </w:tc>
        <w:tc>
          <w:tcPr>
            <w:tcW w:w="1770" w:type="dxa"/>
            <w:tcBorders>
              <w:top w:val="nil"/>
              <w:left w:val="nil"/>
              <w:bottom w:val="nil"/>
              <w:right w:val="nil"/>
            </w:tcBorders>
            <w:shd w:val="clear" w:color="auto" w:fill="auto"/>
            <w:noWrap/>
            <w:vAlign w:val="bottom"/>
            <w:hideMark/>
          </w:tcPr>
          <w:p w14:paraId="0E64B799" w14:textId="77777777" w:rsidR="00CB2DA6" w:rsidRPr="00CB2DA6" w:rsidRDefault="00CB2DA6" w:rsidP="00CB2DA6">
            <w:pPr>
              <w:widowControl/>
              <w:autoSpaceDE/>
              <w:autoSpaceDN/>
              <w:rPr>
                <w:sz w:val="20"/>
                <w:szCs w:val="20"/>
                <w:lang w:val="en-US"/>
              </w:rPr>
            </w:pPr>
          </w:p>
        </w:tc>
        <w:tc>
          <w:tcPr>
            <w:tcW w:w="1769" w:type="dxa"/>
            <w:tcBorders>
              <w:top w:val="nil"/>
              <w:left w:val="nil"/>
              <w:bottom w:val="nil"/>
              <w:right w:val="nil"/>
            </w:tcBorders>
            <w:shd w:val="clear" w:color="auto" w:fill="auto"/>
            <w:noWrap/>
            <w:vAlign w:val="bottom"/>
            <w:hideMark/>
          </w:tcPr>
          <w:p w14:paraId="48E41B3C" w14:textId="77777777" w:rsidR="00CB2DA6" w:rsidRPr="00CB2DA6" w:rsidRDefault="00CB2DA6" w:rsidP="00CB2DA6">
            <w:pPr>
              <w:widowControl/>
              <w:autoSpaceDE/>
              <w:autoSpaceDN/>
              <w:rPr>
                <w:sz w:val="20"/>
                <w:szCs w:val="20"/>
                <w:lang w:val="en-US"/>
              </w:rPr>
            </w:pPr>
          </w:p>
        </w:tc>
        <w:tc>
          <w:tcPr>
            <w:tcW w:w="1769" w:type="dxa"/>
            <w:tcBorders>
              <w:top w:val="nil"/>
              <w:left w:val="nil"/>
              <w:bottom w:val="nil"/>
              <w:right w:val="nil"/>
            </w:tcBorders>
            <w:shd w:val="clear" w:color="auto" w:fill="auto"/>
            <w:noWrap/>
            <w:vAlign w:val="bottom"/>
            <w:hideMark/>
          </w:tcPr>
          <w:p w14:paraId="71F59E8A" w14:textId="77777777" w:rsidR="00CB2DA6" w:rsidRPr="00CB2DA6" w:rsidRDefault="00CB2DA6" w:rsidP="00CB2DA6">
            <w:pPr>
              <w:widowControl/>
              <w:autoSpaceDE/>
              <w:autoSpaceDN/>
              <w:rPr>
                <w:sz w:val="20"/>
                <w:szCs w:val="20"/>
                <w:lang w:val="en-US"/>
              </w:rPr>
            </w:pPr>
          </w:p>
        </w:tc>
        <w:tc>
          <w:tcPr>
            <w:tcW w:w="1769" w:type="dxa"/>
            <w:tcBorders>
              <w:top w:val="nil"/>
              <w:left w:val="nil"/>
              <w:bottom w:val="nil"/>
              <w:right w:val="nil"/>
            </w:tcBorders>
            <w:shd w:val="clear" w:color="auto" w:fill="auto"/>
            <w:noWrap/>
            <w:vAlign w:val="bottom"/>
            <w:hideMark/>
          </w:tcPr>
          <w:p w14:paraId="76D01ADA" w14:textId="77777777" w:rsidR="00CB2DA6" w:rsidRPr="00CB2DA6" w:rsidRDefault="00CB2DA6" w:rsidP="00CB2DA6">
            <w:pPr>
              <w:widowControl/>
              <w:autoSpaceDE/>
              <w:autoSpaceDN/>
              <w:rPr>
                <w:sz w:val="20"/>
                <w:szCs w:val="20"/>
                <w:lang w:val="en-US"/>
              </w:rPr>
            </w:pPr>
          </w:p>
        </w:tc>
        <w:tc>
          <w:tcPr>
            <w:tcW w:w="1771" w:type="dxa"/>
            <w:tcBorders>
              <w:top w:val="nil"/>
              <w:left w:val="nil"/>
              <w:bottom w:val="nil"/>
              <w:right w:val="nil"/>
            </w:tcBorders>
            <w:shd w:val="clear" w:color="auto" w:fill="auto"/>
            <w:noWrap/>
            <w:vAlign w:val="bottom"/>
            <w:hideMark/>
          </w:tcPr>
          <w:p w14:paraId="28A30DD0" w14:textId="77777777" w:rsidR="00CB2DA6" w:rsidRPr="00CB2DA6" w:rsidRDefault="00CB2DA6" w:rsidP="00CB2DA6">
            <w:pPr>
              <w:widowControl/>
              <w:autoSpaceDE/>
              <w:autoSpaceDN/>
              <w:rPr>
                <w:sz w:val="20"/>
                <w:szCs w:val="20"/>
                <w:lang w:val="en-US"/>
              </w:rPr>
            </w:pPr>
          </w:p>
        </w:tc>
      </w:tr>
      <w:tr w:rsidR="00CB2DA6" w:rsidRPr="00CB2DA6" w14:paraId="361A2011" w14:textId="77777777" w:rsidTr="00CB2DA6">
        <w:trPr>
          <w:trHeight w:val="307"/>
        </w:trPr>
        <w:tc>
          <w:tcPr>
            <w:tcW w:w="1307" w:type="dxa"/>
            <w:tcBorders>
              <w:top w:val="single" w:sz="8" w:space="0" w:color="auto"/>
              <w:left w:val="single" w:sz="8" w:space="0" w:color="auto"/>
              <w:bottom w:val="nil"/>
              <w:right w:val="single" w:sz="8" w:space="0" w:color="auto"/>
            </w:tcBorders>
            <w:shd w:val="clear" w:color="000000" w:fill="DBE5F1"/>
            <w:vAlign w:val="center"/>
            <w:hideMark/>
          </w:tcPr>
          <w:p w14:paraId="7E81C692" w14:textId="77777777" w:rsidR="00CB2DA6" w:rsidRPr="00CB2DA6" w:rsidRDefault="00CB2DA6" w:rsidP="00CB2DA6">
            <w:pPr>
              <w:widowControl/>
              <w:autoSpaceDE/>
              <w:autoSpaceDN/>
              <w:rPr>
                <w:rFonts w:ascii="Arial" w:hAnsi="Arial" w:cs="Arial"/>
                <w:color w:val="000000"/>
                <w:sz w:val="19"/>
                <w:szCs w:val="19"/>
                <w:lang w:val="en-US"/>
              </w:rPr>
            </w:pPr>
            <w:r w:rsidRPr="00CB2DA6">
              <w:rPr>
                <w:rFonts w:ascii="Arial" w:hAnsi="Arial" w:cs="Arial"/>
                <w:color w:val="000000"/>
                <w:sz w:val="19"/>
                <w:szCs w:val="19"/>
                <w:lang w:val="en-US"/>
              </w:rPr>
              <w:t>Pago/</w:t>
            </w:r>
          </w:p>
        </w:tc>
        <w:tc>
          <w:tcPr>
            <w:tcW w:w="1770"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hideMark/>
          </w:tcPr>
          <w:p w14:paraId="53ABBE4F" w14:textId="77777777" w:rsidR="00CB2DA6" w:rsidRPr="00CB2DA6" w:rsidRDefault="00CB2DA6" w:rsidP="00CB2DA6">
            <w:pPr>
              <w:widowControl/>
              <w:autoSpaceDE/>
              <w:autoSpaceDN/>
              <w:jc w:val="center"/>
              <w:rPr>
                <w:rFonts w:ascii="Arial" w:hAnsi="Arial" w:cs="Arial"/>
                <w:color w:val="000000"/>
                <w:sz w:val="21"/>
                <w:szCs w:val="21"/>
                <w:lang w:val="en-US"/>
              </w:rPr>
            </w:pPr>
            <w:r w:rsidRPr="00CB2DA6">
              <w:rPr>
                <w:rFonts w:ascii="Arial" w:hAnsi="Arial" w:cs="Arial"/>
                <w:color w:val="000000"/>
                <w:sz w:val="21"/>
                <w:szCs w:val="21"/>
                <w:lang w:val="en-US"/>
              </w:rPr>
              <w:t>Sin pago; 100% de descuento</w:t>
            </w:r>
          </w:p>
        </w:tc>
        <w:tc>
          <w:tcPr>
            <w:tcW w:w="1769"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hideMark/>
          </w:tcPr>
          <w:p w14:paraId="7EB0AC7F" w14:textId="77777777" w:rsidR="00CB2DA6" w:rsidRPr="00CB2DA6" w:rsidRDefault="00CB2DA6" w:rsidP="00CB2DA6">
            <w:pPr>
              <w:widowControl/>
              <w:autoSpaceDE/>
              <w:autoSpaceDN/>
              <w:jc w:val="center"/>
              <w:rPr>
                <w:rFonts w:ascii="Arial" w:hAnsi="Arial" w:cs="Arial"/>
                <w:color w:val="000000"/>
                <w:sz w:val="21"/>
                <w:szCs w:val="21"/>
                <w:lang w:val="en-US"/>
              </w:rPr>
            </w:pPr>
            <w:r w:rsidRPr="00CB2DA6">
              <w:rPr>
                <w:rFonts w:ascii="Arial" w:hAnsi="Arial" w:cs="Arial"/>
                <w:color w:val="000000"/>
                <w:sz w:val="21"/>
                <w:szCs w:val="21"/>
                <w:lang w:val="en-US"/>
              </w:rPr>
              <w:t>Pago del 25%; 75% de descuento</w:t>
            </w:r>
          </w:p>
        </w:tc>
        <w:tc>
          <w:tcPr>
            <w:tcW w:w="1769"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hideMark/>
          </w:tcPr>
          <w:p w14:paraId="5AD66F22" w14:textId="77777777" w:rsidR="00CB2DA6" w:rsidRPr="00CB2DA6" w:rsidRDefault="00CB2DA6" w:rsidP="00CB2DA6">
            <w:pPr>
              <w:widowControl/>
              <w:autoSpaceDE/>
              <w:autoSpaceDN/>
              <w:jc w:val="center"/>
              <w:rPr>
                <w:rFonts w:ascii="Arial" w:hAnsi="Arial" w:cs="Arial"/>
                <w:color w:val="000000"/>
                <w:sz w:val="21"/>
                <w:szCs w:val="21"/>
                <w:lang w:val="en-US"/>
              </w:rPr>
            </w:pPr>
            <w:r w:rsidRPr="00CB2DA6">
              <w:rPr>
                <w:rFonts w:ascii="Arial" w:hAnsi="Arial" w:cs="Arial"/>
                <w:color w:val="000000"/>
                <w:sz w:val="21"/>
                <w:szCs w:val="21"/>
                <w:lang w:val="en-US"/>
              </w:rPr>
              <w:t>Pago del 50%; 50% de descuento</w:t>
            </w:r>
          </w:p>
        </w:tc>
        <w:tc>
          <w:tcPr>
            <w:tcW w:w="1769"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hideMark/>
          </w:tcPr>
          <w:p w14:paraId="6F7253E0" w14:textId="77777777" w:rsidR="00CB2DA6" w:rsidRPr="00CB2DA6" w:rsidRDefault="00CB2DA6" w:rsidP="00CB2DA6">
            <w:pPr>
              <w:widowControl/>
              <w:autoSpaceDE/>
              <w:autoSpaceDN/>
              <w:jc w:val="center"/>
              <w:rPr>
                <w:rFonts w:ascii="Arial" w:hAnsi="Arial" w:cs="Arial"/>
                <w:color w:val="000000"/>
                <w:sz w:val="21"/>
                <w:szCs w:val="21"/>
                <w:lang w:val="en-US"/>
              </w:rPr>
            </w:pPr>
            <w:r w:rsidRPr="00CB2DA6">
              <w:rPr>
                <w:rFonts w:ascii="Arial" w:hAnsi="Arial" w:cs="Arial"/>
                <w:color w:val="000000"/>
                <w:sz w:val="21"/>
                <w:szCs w:val="21"/>
                <w:lang w:val="en-US"/>
              </w:rPr>
              <w:t>Pago del 75%; 25% de descuento</w:t>
            </w:r>
          </w:p>
        </w:tc>
        <w:tc>
          <w:tcPr>
            <w:tcW w:w="1771"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hideMark/>
          </w:tcPr>
          <w:p w14:paraId="1008A121" w14:textId="77777777" w:rsidR="00CB2DA6" w:rsidRPr="00CB2DA6" w:rsidRDefault="00CB2DA6" w:rsidP="00CB2DA6">
            <w:pPr>
              <w:widowControl/>
              <w:autoSpaceDE/>
              <w:autoSpaceDN/>
              <w:jc w:val="center"/>
              <w:rPr>
                <w:rFonts w:ascii="Arial" w:hAnsi="Arial" w:cs="Arial"/>
                <w:color w:val="000000"/>
                <w:sz w:val="21"/>
                <w:szCs w:val="21"/>
                <w:lang w:val="en-US"/>
              </w:rPr>
            </w:pPr>
            <w:r w:rsidRPr="00CB2DA6">
              <w:rPr>
                <w:rFonts w:ascii="Arial" w:hAnsi="Arial" w:cs="Arial"/>
                <w:color w:val="000000"/>
                <w:sz w:val="21"/>
                <w:szCs w:val="21"/>
                <w:lang w:val="en-US"/>
              </w:rPr>
              <w:t>Adeuda pago completo</w:t>
            </w:r>
          </w:p>
        </w:tc>
      </w:tr>
      <w:tr w:rsidR="00CB2DA6" w:rsidRPr="00CB2DA6" w14:paraId="43421CA1" w14:textId="77777777" w:rsidTr="00CB2DA6">
        <w:trPr>
          <w:trHeight w:val="513"/>
        </w:trPr>
        <w:tc>
          <w:tcPr>
            <w:tcW w:w="1307" w:type="dxa"/>
            <w:tcBorders>
              <w:top w:val="nil"/>
              <w:left w:val="single" w:sz="8" w:space="0" w:color="auto"/>
              <w:bottom w:val="single" w:sz="8" w:space="0" w:color="auto"/>
              <w:right w:val="single" w:sz="8" w:space="0" w:color="auto"/>
            </w:tcBorders>
            <w:shd w:val="clear" w:color="000000" w:fill="DBE5F1"/>
            <w:vAlign w:val="center"/>
            <w:hideMark/>
          </w:tcPr>
          <w:p w14:paraId="234D050B" w14:textId="77777777" w:rsidR="00CB2DA6" w:rsidRPr="00CB2DA6" w:rsidRDefault="00CB2DA6" w:rsidP="00CB2DA6">
            <w:pPr>
              <w:widowControl/>
              <w:autoSpaceDE/>
              <w:autoSpaceDN/>
              <w:rPr>
                <w:rFonts w:ascii="Arial" w:hAnsi="Arial" w:cs="Arial"/>
                <w:color w:val="000000"/>
                <w:sz w:val="19"/>
                <w:szCs w:val="19"/>
                <w:lang w:val="en-US"/>
              </w:rPr>
            </w:pPr>
            <w:r w:rsidRPr="00CB2DA6">
              <w:rPr>
                <w:rFonts w:ascii="Arial" w:hAnsi="Arial" w:cs="Arial"/>
                <w:color w:val="000000"/>
                <w:sz w:val="19"/>
                <w:szCs w:val="19"/>
                <w:lang w:val="en-US"/>
              </w:rPr>
              <w:t>Cantidad de descuento</w:t>
            </w:r>
          </w:p>
        </w:tc>
        <w:tc>
          <w:tcPr>
            <w:tcW w:w="1770" w:type="dxa"/>
            <w:vMerge/>
            <w:tcBorders>
              <w:top w:val="single" w:sz="8" w:space="0" w:color="auto"/>
              <w:left w:val="single" w:sz="8" w:space="0" w:color="auto"/>
              <w:bottom w:val="single" w:sz="8" w:space="0" w:color="000000"/>
              <w:right w:val="single" w:sz="8" w:space="0" w:color="auto"/>
            </w:tcBorders>
            <w:vAlign w:val="center"/>
            <w:hideMark/>
          </w:tcPr>
          <w:p w14:paraId="5CC73ACE" w14:textId="77777777" w:rsidR="00CB2DA6" w:rsidRPr="00CB2DA6" w:rsidRDefault="00CB2DA6" w:rsidP="00CB2DA6">
            <w:pPr>
              <w:widowControl/>
              <w:autoSpaceDE/>
              <w:autoSpaceDN/>
              <w:rPr>
                <w:rFonts w:ascii="Arial" w:hAnsi="Arial" w:cs="Arial"/>
                <w:color w:val="000000"/>
                <w:sz w:val="21"/>
                <w:szCs w:val="21"/>
                <w:lang w:val="en-US"/>
              </w:rPr>
            </w:pPr>
          </w:p>
        </w:tc>
        <w:tc>
          <w:tcPr>
            <w:tcW w:w="1769" w:type="dxa"/>
            <w:vMerge/>
            <w:tcBorders>
              <w:top w:val="single" w:sz="8" w:space="0" w:color="auto"/>
              <w:left w:val="single" w:sz="8" w:space="0" w:color="auto"/>
              <w:bottom w:val="single" w:sz="8" w:space="0" w:color="000000"/>
              <w:right w:val="single" w:sz="8" w:space="0" w:color="auto"/>
            </w:tcBorders>
            <w:vAlign w:val="center"/>
            <w:hideMark/>
          </w:tcPr>
          <w:p w14:paraId="6227D96F" w14:textId="77777777" w:rsidR="00CB2DA6" w:rsidRPr="00CB2DA6" w:rsidRDefault="00CB2DA6" w:rsidP="00CB2DA6">
            <w:pPr>
              <w:widowControl/>
              <w:autoSpaceDE/>
              <w:autoSpaceDN/>
              <w:rPr>
                <w:rFonts w:ascii="Arial" w:hAnsi="Arial" w:cs="Arial"/>
                <w:color w:val="000000"/>
                <w:sz w:val="21"/>
                <w:szCs w:val="21"/>
                <w:lang w:val="en-US"/>
              </w:rPr>
            </w:pPr>
          </w:p>
        </w:tc>
        <w:tc>
          <w:tcPr>
            <w:tcW w:w="1769" w:type="dxa"/>
            <w:vMerge/>
            <w:tcBorders>
              <w:top w:val="single" w:sz="8" w:space="0" w:color="auto"/>
              <w:left w:val="single" w:sz="8" w:space="0" w:color="auto"/>
              <w:bottom w:val="single" w:sz="8" w:space="0" w:color="000000"/>
              <w:right w:val="single" w:sz="8" w:space="0" w:color="auto"/>
            </w:tcBorders>
            <w:vAlign w:val="center"/>
            <w:hideMark/>
          </w:tcPr>
          <w:p w14:paraId="2DCD670B" w14:textId="77777777" w:rsidR="00CB2DA6" w:rsidRPr="00CB2DA6" w:rsidRDefault="00CB2DA6" w:rsidP="00CB2DA6">
            <w:pPr>
              <w:widowControl/>
              <w:autoSpaceDE/>
              <w:autoSpaceDN/>
              <w:rPr>
                <w:rFonts w:ascii="Arial" w:hAnsi="Arial" w:cs="Arial"/>
                <w:color w:val="000000"/>
                <w:sz w:val="21"/>
                <w:szCs w:val="21"/>
                <w:lang w:val="en-US"/>
              </w:rPr>
            </w:pPr>
          </w:p>
        </w:tc>
        <w:tc>
          <w:tcPr>
            <w:tcW w:w="1769" w:type="dxa"/>
            <w:vMerge/>
            <w:tcBorders>
              <w:top w:val="single" w:sz="8" w:space="0" w:color="auto"/>
              <w:left w:val="single" w:sz="8" w:space="0" w:color="auto"/>
              <w:bottom w:val="single" w:sz="8" w:space="0" w:color="000000"/>
              <w:right w:val="single" w:sz="8" w:space="0" w:color="auto"/>
            </w:tcBorders>
            <w:vAlign w:val="center"/>
            <w:hideMark/>
          </w:tcPr>
          <w:p w14:paraId="3BF6E42B" w14:textId="77777777" w:rsidR="00CB2DA6" w:rsidRPr="00CB2DA6" w:rsidRDefault="00CB2DA6" w:rsidP="00CB2DA6">
            <w:pPr>
              <w:widowControl/>
              <w:autoSpaceDE/>
              <w:autoSpaceDN/>
              <w:rPr>
                <w:rFonts w:ascii="Arial" w:hAnsi="Arial" w:cs="Arial"/>
                <w:color w:val="000000"/>
                <w:sz w:val="21"/>
                <w:szCs w:val="21"/>
                <w:lang w:val="en-US"/>
              </w:rPr>
            </w:pPr>
          </w:p>
        </w:tc>
        <w:tc>
          <w:tcPr>
            <w:tcW w:w="1771" w:type="dxa"/>
            <w:vMerge/>
            <w:tcBorders>
              <w:top w:val="single" w:sz="8" w:space="0" w:color="auto"/>
              <w:left w:val="single" w:sz="8" w:space="0" w:color="auto"/>
              <w:bottom w:val="single" w:sz="8" w:space="0" w:color="000000"/>
              <w:right w:val="single" w:sz="8" w:space="0" w:color="auto"/>
            </w:tcBorders>
            <w:vAlign w:val="center"/>
            <w:hideMark/>
          </w:tcPr>
          <w:p w14:paraId="099C10ED" w14:textId="77777777" w:rsidR="00CB2DA6" w:rsidRPr="00CB2DA6" w:rsidRDefault="00CB2DA6" w:rsidP="00CB2DA6">
            <w:pPr>
              <w:widowControl/>
              <w:autoSpaceDE/>
              <w:autoSpaceDN/>
              <w:rPr>
                <w:rFonts w:ascii="Arial" w:hAnsi="Arial" w:cs="Arial"/>
                <w:color w:val="000000"/>
                <w:sz w:val="21"/>
                <w:szCs w:val="21"/>
                <w:lang w:val="en-US"/>
              </w:rPr>
            </w:pPr>
          </w:p>
        </w:tc>
      </w:tr>
      <w:tr w:rsidR="00CB2DA6" w:rsidRPr="00CB2DA6" w14:paraId="68F8B2F3" w14:textId="77777777" w:rsidTr="00CB2DA6">
        <w:trPr>
          <w:trHeight w:val="542"/>
        </w:trPr>
        <w:tc>
          <w:tcPr>
            <w:tcW w:w="1307" w:type="dxa"/>
            <w:tcBorders>
              <w:top w:val="nil"/>
              <w:left w:val="single" w:sz="8" w:space="0" w:color="auto"/>
              <w:bottom w:val="nil"/>
              <w:right w:val="single" w:sz="8" w:space="0" w:color="auto"/>
            </w:tcBorders>
            <w:shd w:val="clear" w:color="auto" w:fill="auto"/>
            <w:vAlign w:val="center"/>
            <w:hideMark/>
          </w:tcPr>
          <w:p w14:paraId="5A511FBB" w14:textId="77777777" w:rsidR="00CB2DA6" w:rsidRPr="00CB2DA6" w:rsidRDefault="00CB2DA6" w:rsidP="00CB2DA6">
            <w:pPr>
              <w:widowControl/>
              <w:autoSpaceDE/>
              <w:autoSpaceDN/>
              <w:jc w:val="center"/>
              <w:rPr>
                <w:rFonts w:ascii="Arial" w:hAnsi="Arial" w:cs="Arial"/>
                <w:color w:val="000000"/>
                <w:sz w:val="17"/>
                <w:szCs w:val="17"/>
                <w:lang w:val="en-US"/>
              </w:rPr>
            </w:pPr>
            <w:r w:rsidRPr="00CB2DA6">
              <w:rPr>
                <w:rFonts w:ascii="Arial" w:hAnsi="Arial" w:cs="Arial"/>
                <w:color w:val="000000"/>
                <w:sz w:val="17"/>
                <w:szCs w:val="17"/>
                <w:lang w:val="en-US"/>
              </w:rPr>
              <w:t>Tamaño de la familia</w:t>
            </w:r>
          </w:p>
        </w:tc>
        <w:tc>
          <w:tcPr>
            <w:tcW w:w="1770" w:type="dxa"/>
            <w:tcBorders>
              <w:top w:val="nil"/>
              <w:left w:val="nil"/>
              <w:bottom w:val="nil"/>
              <w:right w:val="single" w:sz="8" w:space="0" w:color="auto"/>
            </w:tcBorders>
            <w:shd w:val="clear" w:color="auto" w:fill="auto"/>
            <w:vAlign w:val="center"/>
            <w:hideMark/>
          </w:tcPr>
          <w:p w14:paraId="753B4191" w14:textId="77777777" w:rsidR="00CB2DA6" w:rsidRPr="00CB2DA6" w:rsidRDefault="00CB2DA6" w:rsidP="00CB2DA6">
            <w:pPr>
              <w:widowControl/>
              <w:autoSpaceDE/>
              <w:autoSpaceDN/>
              <w:jc w:val="center"/>
              <w:rPr>
                <w:rFonts w:ascii="Arial" w:hAnsi="Arial" w:cs="Arial"/>
                <w:color w:val="000000"/>
                <w:sz w:val="21"/>
                <w:szCs w:val="21"/>
                <w:lang w:val="en-US"/>
              </w:rPr>
            </w:pPr>
            <w:r w:rsidRPr="00CB2DA6">
              <w:rPr>
                <w:rFonts w:ascii="Arial" w:hAnsi="Arial" w:cs="Arial"/>
                <w:color w:val="000000"/>
                <w:sz w:val="21"/>
                <w:szCs w:val="21"/>
                <w:lang w:val="en-US"/>
              </w:rPr>
              <w:t>Igual o menor que</w:t>
            </w:r>
          </w:p>
        </w:tc>
        <w:tc>
          <w:tcPr>
            <w:tcW w:w="1769" w:type="dxa"/>
            <w:tcBorders>
              <w:top w:val="nil"/>
              <w:left w:val="nil"/>
              <w:bottom w:val="nil"/>
              <w:right w:val="single" w:sz="8" w:space="0" w:color="auto"/>
            </w:tcBorders>
            <w:shd w:val="clear" w:color="auto" w:fill="auto"/>
            <w:vAlign w:val="center"/>
            <w:hideMark/>
          </w:tcPr>
          <w:p w14:paraId="7D4F4272" w14:textId="77777777" w:rsidR="00CB2DA6" w:rsidRPr="00CB2DA6" w:rsidRDefault="00CB2DA6" w:rsidP="00CB2DA6">
            <w:pPr>
              <w:widowControl/>
              <w:autoSpaceDE/>
              <w:autoSpaceDN/>
              <w:jc w:val="center"/>
              <w:rPr>
                <w:rFonts w:ascii="Arial" w:hAnsi="Arial" w:cs="Arial"/>
                <w:color w:val="000000"/>
                <w:sz w:val="21"/>
                <w:szCs w:val="21"/>
                <w:lang w:val="en-US"/>
              </w:rPr>
            </w:pPr>
            <w:r w:rsidRPr="00CB2DA6">
              <w:rPr>
                <w:rFonts w:ascii="Arial" w:hAnsi="Arial" w:cs="Arial"/>
                <w:color w:val="000000"/>
                <w:sz w:val="21"/>
                <w:szCs w:val="21"/>
                <w:lang w:val="en-US"/>
              </w:rPr>
              <w:t>Igual o menor que</w:t>
            </w:r>
          </w:p>
        </w:tc>
        <w:tc>
          <w:tcPr>
            <w:tcW w:w="1769" w:type="dxa"/>
            <w:tcBorders>
              <w:top w:val="nil"/>
              <w:left w:val="nil"/>
              <w:bottom w:val="nil"/>
              <w:right w:val="single" w:sz="8" w:space="0" w:color="auto"/>
            </w:tcBorders>
            <w:shd w:val="clear" w:color="auto" w:fill="auto"/>
            <w:vAlign w:val="center"/>
            <w:hideMark/>
          </w:tcPr>
          <w:p w14:paraId="64B50978" w14:textId="77777777" w:rsidR="00CB2DA6" w:rsidRPr="00CB2DA6" w:rsidRDefault="00CB2DA6" w:rsidP="00CB2DA6">
            <w:pPr>
              <w:widowControl/>
              <w:autoSpaceDE/>
              <w:autoSpaceDN/>
              <w:jc w:val="center"/>
              <w:rPr>
                <w:rFonts w:ascii="Arial" w:hAnsi="Arial" w:cs="Arial"/>
                <w:color w:val="000000"/>
                <w:sz w:val="21"/>
                <w:szCs w:val="21"/>
                <w:lang w:val="en-US"/>
              </w:rPr>
            </w:pPr>
            <w:r w:rsidRPr="00CB2DA6">
              <w:rPr>
                <w:rFonts w:ascii="Arial" w:hAnsi="Arial" w:cs="Arial"/>
                <w:color w:val="000000"/>
                <w:sz w:val="21"/>
                <w:szCs w:val="21"/>
                <w:lang w:val="en-US"/>
              </w:rPr>
              <w:t>Igual o menor que</w:t>
            </w:r>
          </w:p>
        </w:tc>
        <w:tc>
          <w:tcPr>
            <w:tcW w:w="1769" w:type="dxa"/>
            <w:tcBorders>
              <w:top w:val="nil"/>
              <w:left w:val="nil"/>
              <w:bottom w:val="nil"/>
              <w:right w:val="single" w:sz="8" w:space="0" w:color="auto"/>
            </w:tcBorders>
            <w:shd w:val="clear" w:color="auto" w:fill="auto"/>
            <w:vAlign w:val="center"/>
            <w:hideMark/>
          </w:tcPr>
          <w:p w14:paraId="10393CC1" w14:textId="77777777" w:rsidR="00CB2DA6" w:rsidRPr="00CB2DA6" w:rsidRDefault="00CB2DA6" w:rsidP="00CB2DA6">
            <w:pPr>
              <w:widowControl/>
              <w:autoSpaceDE/>
              <w:autoSpaceDN/>
              <w:jc w:val="center"/>
              <w:rPr>
                <w:rFonts w:ascii="Arial" w:hAnsi="Arial" w:cs="Arial"/>
                <w:color w:val="000000"/>
                <w:sz w:val="21"/>
                <w:szCs w:val="21"/>
                <w:lang w:val="en-US"/>
              </w:rPr>
            </w:pPr>
            <w:r w:rsidRPr="00CB2DA6">
              <w:rPr>
                <w:rFonts w:ascii="Arial" w:hAnsi="Arial" w:cs="Arial"/>
                <w:color w:val="000000"/>
                <w:sz w:val="21"/>
                <w:szCs w:val="21"/>
                <w:lang w:val="en-US"/>
              </w:rPr>
              <w:t>Igual o menor que</w:t>
            </w:r>
          </w:p>
        </w:tc>
        <w:tc>
          <w:tcPr>
            <w:tcW w:w="1771" w:type="dxa"/>
            <w:tcBorders>
              <w:top w:val="nil"/>
              <w:left w:val="nil"/>
              <w:bottom w:val="nil"/>
              <w:right w:val="single" w:sz="8" w:space="0" w:color="auto"/>
            </w:tcBorders>
            <w:shd w:val="clear" w:color="auto" w:fill="auto"/>
            <w:vAlign w:val="center"/>
            <w:hideMark/>
          </w:tcPr>
          <w:p w14:paraId="7EDC6AC3" w14:textId="77777777" w:rsidR="00CB2DA6" w:rsidRPr="00CB2DA6" w:rsidRDefault="00CB2DA6" w:rsidP="00CB2DA6">
            <w:pPr>
              <w:widowControl/>
              <w:autoSpaceDE/>
              <w:autoSpaceDN/>
              <w:jc w:val="center"/>
              <w:rPr>
                <w:rFonts w:ascii="Arial" w:hAnsi="Arial" w:cs="Arial"/>
                <w:color w:val="000000"/>
                <w:sz w:val="21"/>
                <w:szCs w:val="21"/>
                <w:lang w:val="en-US"/>
              </w:rPr>
            </w:pPr>
            <w:r w:rsidRPr="00CB2DA6">
              <w:rPr>
                <w:rFonts w:ascii="Arial" w:hAnsi="Arial" w:cs="Arial"/>
                <w:color w:val="000000"/>
                <w:sz w:val="21"/>
                <w:szCs w:val="21"/>
                <w:lang w:val="en-US"/>
              </w:rPr>
              <w:t>Igual o menor que</w:t>
            </w:r>
          </w:p>
        </w:tc>
      </w:tr>
      <w:tr w:rsidR="00CB2DA6" w:rsidRPr="00CB2DA6" w14:paraId="5107B6C4" w14:textId="77777777" w:rsidTr="00CB2DA6">
        <w:trPr>
          <w:trHeight w:val="645"/>
        </w:trPr>
        <w:tc>
          <w:tcPr>
            <w:tcW w:w="1307" w:type="dxa"/>
            <w:tcBorders>
              <w:top w:val="nil"/>
              <w:left w:val="single" w:sz="8" w:space="0" w:color="auto"/>
              <w:bottom w:val="single" w:sz="8" w:space="0" w:color="auto"/>
              <w:right w:val="single" w:sz="8" w:space="0" w:color="auto"/>
            </w:tcBorders>
            <w:shd w:val="clear" w:color="auto" w:fill="auto"/>
            <w:vAlign w:val="center"/>
            <w:hideMark/>
          </w:tcPr>
          <w:p w14:paraId="27F5F4B6" w14:textId="77777777" w:rsidR="00CB2DA6" w:rsidRPr="00CB2DA6" w:rsidRDefault="00CB2DA6" w:rsidP="00CB2DA6">
            <w:pPr>
              <w:widowControl/>
              <w:autoSpaceDE/>
              <w:autoSpaceDN/>
              <w:jc w:val="center"/>
              <w:rPr>
                <w:rFonts w:ascii="Arial" w:hAnsi="Arial" w:cs="Arial"/>
                <w:color w:val="000000"/>
                <w:sz w:val="23"/>
                <w:szCs w:val="23"/>
                <w:lang w:val="en-US"/>
              </w:rPr>
            </w:pPr>
            <w:r w:rsidRPr="00CB2DA6">
              <w:rPr>
                <w:rFonts w:ascii="Arial" w:hAnsi="Arial" w:cs="Arial"/>
                <w:color w:val="000000"/>
                <w:sz w:val="23"/>
                <w:szCs w:val="23"/>
                <w:lang w:val="en-US"/>
              </w:rPr>
              <w:t>1</w:t>
            </w:r>
          </w:p>
        </w:tc>
        <w:tc>
          <w:tcPr>
            <w:tcW w:w="1770" w:type="dxa"/>
            <w:tcBorders>
              <w:top w:val="nil"/>
              <w:left w:val="nil"/>
              <w:bottom w:val="single" w:sz="8" w:space="0" w:color="auto"/>
              <w:right w:val="single" w:sz="8" w:space="0" w:color="auto"/>
            </w:tcBorders>
            <w:shd w:val="clear" w:color="auto" w:fill="auto"/>
            <w:vAlign w:val="center"/>
            <w:hideMark/>
          </w:tcPr>
          <w:p w14:paraId="21B9BB31" w14:textId="77777777" w:rsidR="00CB2DA6" w:rsidRPr="00CB2DA6" w:rsidRDefault="00CB2DA6" w:rsidP="00CB2DA6">
            <w:pPr>
              <w:widowControl/>
              <w:autoSpaceDE/>
              <w:autoSpaceDN/>
              <w:jc w:val="center"/>
              <w:rPr>
                <w:rFonts w:ascii="Arial" w:hAnsi="Arial" w:cs="Arial"/>
                <w:color w:val="000000"/>
                <w:lang w:val="en-US"/>
              </w:rPr>
            </w:pPr>
            <w:r w:rsidRPr="00CB2DA6">
              <w:rPr>
                <w:rFonts w:ascii="Arial" w:hAnsi="Arial" w:cs="Arial"/>
                <w:color w:val="000000"/>
                <w:lang w:val="en-US"/>
              </w:rPr>
              <w:t xml:space="preserve">$29,160 </w:t>
            </w:r>
          </w:p>
        </w:tc>
        <w:tc>
          <w:tcPr>
            <w:tcW w:w="1769" w:type="dxa"/>
            <w:tcBorders>
              <w:top w:val="nil"/>
              <w:left w:val="nil"/>
              <w:bottom w:val="single" w:sz="8" w:space="0" w:color="auto"/>
              <w:right w:val="single" w:sz="8" w:space="0" w:color="auto"/>
            </w:tcBorders>
            <w:shd w:val="clear" w:color="auto" w:fill="auto"/>
            <w:vAlign w:val="center"/>
            <w:hideMark/>
          </w:tcPr>
          <w:p w14:paraId="6D4F0ECE" w14:textId="77777777" w:rsidR="00CB2DA6" w:rsidRPr="00CB2DA6" w:rsidRDefault="00CB2DA6" w:rsidP="00CB2DA6">
            <w:pPr>
              <w:widowControl/>
              <w:autoSpaceDE/>
              <w:autoSpaceDN/>
              <w:jc w:val="center"/>
              <w:rPr>
                <w:rFonts w:ascii="Arial" w:hAnsi="Arial" w:cs="Arial"/>
                <w:color w:val="000000"/>
                <w:lang w:val="en-US"/>
              </w:rPr>
            </w:pPr>
            <w:r w:rsidRPr="00CB2DA6">
              <w:rPr>
                <w:rFonts w:ascii="Arial" w:hAnsi="Arial" w:cs="Arial"/>
                <w:color w:val="000000"/>
                <w:lang w:val="en-US"/>
              </w:rPr>
              <w:t xml:space="preserve">$43,740 </w:t>
            </w:r>
          </w:p>
        </w:tc>
        <w:tc>
          <w:tcPr>
            <w:tcW w:w="1769" w:type="dxa"/>
            <w:tcBorders>
              <w:top w:val="nil"/>
              <w:left w:val="nil"/>
              <w:bottom w:val="single" w:sz="8" w:space="0" w:color="auto"/>
              <w:right w:val="single" w:sz="8" w:space="0" w:color="auto"/>
            </w:tcBorders>
            <w:shd w:val="clear" w:color="auto" w:fill="auto"/>
            <w:vAlign w:val="center"/>
            <w:hideMark/>
          </w:tcPr>
          <w:p w14:paraId="0CF7E408" w14:textId="77777777" w:rsidR="00CB2DA6" w:rsidRPr="00CB2DA6" w:rsidRDefault="00CB2DA6" w:rsidP="00CB2DA6">
            <w:pPr>
              <w:widowControl/>
              <w:autoSpaceDE/>
              <w:autoSpaceDN/>
              <w:jc w:val="center"/>
              <w:rPr>
                <w:rFonts w:ascii="Arial" w:hAnsi="Arial" w:cs="Arial"/>
                <w:color w:val="000000"/>
                <w:lang w:val="en-US"/>
              </w:rPr>
            </w:pPr>
            <w:r w:rsidRPr="00CB2DA6">
              <w:rPr>
                <w:rFonts w:ascii="Arial" w:hAnsi="Arial" w:cs="Arial"/>
                <w:color w:val="000000"/>
                <w:lang w:val="en-US"/>
              </w:rPr>
              <w:t xml:space="preserve">$51,030 </w:t>
            </w:r>
          </w:p>
        </w:tc>
        <w:tc>
          <w:tcPr>
            <w:tcW w:w="1769" w:type="dxa"/>
            <w:tcBorders>
              <w:top w:val="nil"/>
              <w:left w:val="nil"/>
              <w:bottom w:val="single" w:sz="8" w:space="0" w:color="auto"/>
              <w:right w:val="single" w:sz="8" w:space="0" w:color="auto"/>
            </w:tcBorders>
            <w:shd w:val="clear" w:color="auto" w:fill="auto"/>
            <w:vAlign w:val="center"/>
            <w:hideMark/>
          </w:tcPr>
          <w:p w14:paraId="1CF3CFAA" w14:textId="77777777" w:rsidR="00CB2DA6" w:rsidRPr="00CB2DA6" w:rsidRDefault="00CB2DA6" w:rsidP="00CB2DA6">
            <w:pPr>
              <w:widowControl/>
              <w:autoSpaceDE/>
              <w:autoSpaceDN/>
              <w:jc w:val="center"/>
              <w:rPr>
                <w:rFonts w:ascii="Arial" w:hAnsi="Arial" w:cs="Arial"/>
                <w:color w:val="000000"/>
                <w:lang w:val="en-US"/>
              </w:rPr>
            </w:pPr>
            <w:r w:rsidRPr="00CB2DA6">
              <w:rPr>
                <w:rFonts w:ascii="Arial" w:hAnsi="Arial" w:cs="Arial"/>
                <w:color w:val="000000"/>
                <w:lang w:val="en-US"/>
              </w:rPr>
              <w:t xml:space="preserve">$58,320 </w:t>
            </w:r>
          </w:p>
        </w:tc>
        <w:tc>
          <w:tcPr>
            <w:tcW w:w="1771" w:type="dxa"/>
            <w:tcBorders>
              <w:top w:val="nil"/>
              <w:left w:val="nil"/>
              <w:bottom w:val="single" w:sz="8" w:space="0" w:color="auto"/>
              <w:right w:val="single" w:sz="8" w:space="0" w:color="auto"/>
            </w:tcBorders>
            <w:shd w:val="clear" w:color="auto" w:fill="auto"/>
            <w:vAlign w:val="center"/>
            <w:hideMark/>
          </w:tcPr>
          <w:p w14:paraId="50726E8B" w14:textId="77777777" w:rsidR="00CB2DA6" w:rsidRPr="00CB2DA6" w:rsidRDefault="00CB2DA6" w:rsidP="00CB2DA6">
            <w:pPr>
              <w:widowControl/>
              <w:autoSpaceDE/>
              <w:autoSpaceDN/>
              <w:jc w:val="center"/>
              <w:rPr>
                <w:rFonts w:ascii="Arial" w:hAnsi="Arial" w:cs="Arial"/>
                <w:color w:val="000000"/>
                <w:lang w:val="en-US"/>
              </w:rPr>
            </w:pPr>
            <w:r w:rsidRPr="00CB2DA6">
              <w:rPr>
                <w:rFonts w:ascii="Arial" w:hAnsi="Arial" w:cs="Arial"/>
                <w:color w:val="000000"/>
                <w:lang w:val="en-US"/>
              </w:rPr>
              <w:t xml:space="preserve">$58,321 </w:t>
            </w:r>
          </w:p>
        </w:tc>
      </w:tr>
      <w:tr w:rsidR="00CB2DA6" w:rsidRPr="00CB2DA6" w14:paraId="6D575D8B" w14:textId="77777777" w:rsidTr="00CB2DA6">
        <w:trPr>
          <w:trHeight w:val="645"/>
        </w:trPr>
        <w:tc>
          <w:tcPr>
            <w:tcW w:w="1307" w:type="dxa"/>
            <w:tcBorders>
              <w:top w:val="nil"/>
              <w:left w:val="single" w:sz="8" w:space="0" w:color="auto"/>
              <w:bottom w:val="single" w:sz="8" w:space="0" w:color="auto"/>
              <w:right w:val="single" w:sz="8" w:space="0" w:color="auto"/>
            </w:tcBorders>
            <w:shd w:val="clear" w:color="000000" w:fill="DBE5F1"/>
            <w:vAlign w:val="center"/>
            <w:hideMark/>
          </w:tcPr>
          <w:p w14:paraId="2FFB691A" w14:textId="77777777" w:rsidR="00CB2DA6" w:rsidRPr="00CB2DA6" w:rsidRDefault="00CB2DA6" w:rsidP="00CB2DA6">
            <w:pPr>
              <w:widowControl/>
              <w:autoSpaceDE/>
              <w:autoSpaceDN/>
              <w:jc w:val="center"/>
              <w:rPr>
                <w:rFonts w:ascii="Arial" w:hAnsi="Arial" w:cs="Arial"/>
                <w:color w:val="000000"/>
                <w:sz w:val="24"/>
                <w:szCs w:val="24"/>
                <w:lang w:val="en-US"/>
              </w:rPr>
            </w:pPr>
            <w:r w:rsidRPr="00CB2DA6">
              <w:rPr>
                <w:rFonts w:ascii="Arial" w:hAnsi="Arial" w:cs="Arial"/>
                <w:color w:val="000000"/>
                <w:sz w:val="24"/>
                <w:szCs w:val="24"/>
                <w:lang w:val="en-US"/>
              </w:rPr>
              <w:t>2</w:t>
            </w:r>
          </w:p>
        </w:tc>
        <w:tc>
          <w:tcPr>
            <w:tcW w:w="1770" w:type="dxa"/>
            <w:tcBorders>
              <w:top w:val="nil"/>
              <w:left w:val="nil"/>
              <w:bottom w:val="single" w:sz="8" w:space="0" w:color="auto"/>
              <w:right w:val="single" w:sz="8" w:space="0" w:color="auto"/>
            </w:tcBorders>
            <w:shd w:val="clear" w:color="000000" w:fill="DBE5F1"/>
            <w:vAlign w:val="center"/>
            <w:hideMark/>
          </w:tcPr>
          <w:p w14:paraId="5AFBD380" w14:textId="77777777" w:rsidR="00CB2DA6" w:rsidRPr="00CB2DA6" w:rsidRDefault="00CB2DA6" w:rsidP="00CB2DA6">
            <w:pPr>
              <w:widowControl/>
              <w:autoSpaceDE/>
              <w:autoSpaceDN/>
              <w:jc w:val="center"/>
              <w:rPr>
                <w:rFonts w:ascii="Arial" w:hAnsi="Arial" w:cs="Arial"/>
                <w:color w:val="000000"/>
                <w:lang w:val="en-US"/>
              </w:rPr>
            </w:pPr>
            <w:r w:rsidRPr="00CB2DA6">
              <w:rPr>
                <w:rFonts w:ascii="Arial" w:hAnsi="Arial" w:cs="Arial"/>
                <w:color w:val="000000"/>
                <w:lang w:val="en-US"/>
              </w:rPr>
              <w:t xml:space="preserve">$39,440 </w:t>
            </w:r>
          </w:p>
        </w:tc>
        <w:tc>
          <w:tcPr>
            <w:tcW w:w="1769" w:type="dxa"/>
            <w:tcBorders>
              <w:top w:val="nil"/>
              <w:left w:val="nil"/>
              <w:bottom w:val="single" w:sz="8" w:space="0" w:color="auto"/>
              <w:right w:val="single" w:sz="8" w:space="0" w:color="auto"/>
            </w:tcBorders>
            <w:shd w:val="clear" w:color="000000" w:fill="DBE5F1"/>
            <w:vAlign w:val="center"/>
            <w:hideMark/>
          </w:tcPr>
          <w:p w14:paraId="09EDB32A" w14:textId="77777777" w:rsidR="00CB2DA6" w:rsidRPr="00CB2DA6" w:rsidRDefault="00CB2DA6" w:rsidP="00CB2DA6">
            <w:pPr>
              <w:widowControl/>
              <w:autoSpaceDE/>
              <w:autoSpaceDN/>
              <w:jc w:val="center"/>
              <w:rPr>
                <w:rFonts w:ascii="Arial" w:hAnsi="Arial" w:cs="Arial"/>
                <w:color w:val="000000"/>
                <w:lang w:val="en-US"/>
              </w:rPr>
            </w:pPr>
            <w:r w:rsidRPr="00CB2DA6">
              <w:rPr>
                <w:rFonts w:ascii="Arial" w:hAnsi="Arial" w:cs="Arial"/>
                <w:color w:val="000000"/>
                <w:lang w:val="en-US"/>
              </w:rPr>
              <w:t xml:space="preserve">$59,160 </w:t>
            </w:r>
          </w:p>
        </w:tc>
        <w:tc>
          <w:tcPr>
            <w:tcW w:w="1769" w:type="dxa"/>
            <w:tcBorders>
              <w:top w:val="nil"/>
              <w:left w:val="nil"/>
              <w:bottom w:val="single" w:sz="8" w:space="0" w:color="auto"/>
              <w:right w:val="single" w:sz="8" w:space="0" w:color="auto"/>
            </w:tcBorders>
            <w:shd w:val="clear" w:color="000000" w:fill="DBE5F1"/>
            <w:vAlign w:val="center"/>
            <w:hideMark/>
          </w:tcPr>
          <w:p w14:paraId="7EFF07AE" w14:textId="77777777" w:rsidR="00CB2DA6" w:rsidRPr="00CB2DA6" w:rsidRDefault="00CB2DA6" w:rsidP="00CB2DA6">
            <w:pPr>
              <w:widowControl/>
              <w:autoSpaceDE/>
              <w:autoSpaceDN/>
              <w:jc w:val="center"/>
              <w:rPr>
                <w:rFonts w:ascii="Arial" w:hAnsi="Arial" w:cs="Arial"/>
                <w:color w:val="000000"/>
                <w:lang w:val="en-US"/>
              </w:rPr>
            </w:pPr>
            <w:r w:rsidRPr="00CB2DA6">
              <w:rPr>
                <w:rFonts w:ascii="Arial" w:hAnsi="Arial" w:cs="Arial"/>
                <w:color w:val="000000"/>
                <w:lang w:val="en-US"/>
              </w:rPr>
              <w:t xml:space="preserve">$69,020 </w:t>
            </w:r>
          </w:p>
        </w:tc>
        <w:tc>
          <w:tcPr>
            <w:tcW w:w="1769" w:type="dxa"/>
            <w:tcBorders>
              <w:top w:val="nil"/>
              <w:left w:val="nil"/>
              <w:bottom w:val="single" w:sz="8" w:space="0" w:color="auto"/>
              <w:right w:val="single" w:sz="8" w:space="0" w:color="auto"/>
            </w:tcBorders>
            <w:shd w:val="clear" w:color="000000" w:fill="DBE5F1"/>
            <w:vAlign w:val="center"/>
            <w:hideMark/>
          </w:tcPr>
          <w:p w14:paraId="18D68B9C" w14:textId="77777777" w:rsidR="00CB2DA6" w:rsidRPr="00CB2DA6" w:rsidRDefault="00CB2DA6" w:rsidP="00CB2DA6">
            <w:pPr>
              <w:widowControl/>
              <w:autoSpaceDE/>
              <w:autoSpaceDN/>
              <w:jc w:val="center"/>
              <w:rPr>
                <w:rFonts w:ascii="Arial" w:hAnsi="Arial" w:cs="Arial"/>
                <w:color w:val="000000"/>
                <w:lang w:val="en-US"/>
              </w:rPr>
            </w:pPr>
            <w:r w:rsidRPr="00CB2DA6">
              <w:rPr>
                <w:rFonts w:ascii="Arial" w:hAnsi="Arial" w:cs="Arial"/>
                <w:color w:val="000000"/>
                <w:lang w:val="en-US"/>
              </w:rPr>
              <w:t xml:space="preserve">$78,880 </w:t>
            </w:r>
          </w:p>
        </w:tc>
        <w:tc>
          <w:tcPr>
            <w:tcW w:w="1771" w:type="dxa"/>
            <w:tcBorders>
              <w:top w:val="nil"/>
              <w:left w:val="nil"/>
              <w:bottom w:val="single" w:sz="8" w:space="0" w:color="auto"/>
              <w:right w:val="single" w:sz="8" w:space="0" w:color="auto"/>
            </w:tcBorders>
            <w:shd w:val="clear" w:color="000000" w:fill="DBE5F1"/>
            <w:vAlign w:val="center"/>
            <w:hideMark/>
          </w:tcPr>
          <w:p w14:paraId="79B69AA3" w14:textId="77777777" w:rsidR="00CB2DA6" w:rsidRPr="00CB2DA6" w:rsidRDefault="00CB2DA6" w:rsidP="00CB2DA6">
            <w:pPr>
              <w:widowControl/>
              <w:autoSpaceDE/>
              <w:autoSpaceDN/>
              <w:jc w:val="center"/>
              <w:rPr>
                <w:rFonts w:ascii="Arial" w:hAnsi="Arial" w:cs="Arial"/>
                <w:color w:val="000000"/>
                <w:lang w:val="en-US"/>
              </w:rPr>
            </w:pPr>
            <w:r w:rsidRPr="00CB2DA6">
              <w:rPr>
                <w:rFonts w:ascii="Arial" w:hAnsi="Arial" w:cs="Arial"/>
                <w:color w:val="000000"/>
                <w:lang w:val="en-US"/>
              </w:rPr>
              <w:t xml:space="preserve">$78,881 </w:t>
            </w:r>
          </w:p>
        </w:tc>
      </w:tr>
      <w:tr w:rsidR="00CB2DA6" w:rsidRPr="00CB2DA6" w14:paraId="795B5035" w14:textId="77777777" w:rsidTr="00CB2DA6">
        <w:trPr>
          <w:trHeight w:val="645"/>
        </w:trPr>
        <w:tc>
          <w:tcPr>
            <w:tcW w:w="1307" w:type="dxa"/>
            <w:tcBorders>
              <w:top w:val="nil"/>
              <w:left w:val="single" w:sz="8" w:space="0" w:color="auto"/>
              <w:bottom w:val="single" w:sz="8" w:space="0" w:color="auto"/>
              <w:right w:val="single" w:sz="8" w:space="0" w:color="auto"/>
            </w:tcBorders>
            <w:shd w:val="clear" w:color="auto" w:fill="auto"/>
            <w:vAlign w:val="center"/>
            <w:hideMark/>
          </w:tcPr>
          <w:p w14:paraId="4BAC80ED" w14:textId="77777777" w:rsidR="00CB2DA6" w:rsidRPr="00CB2DA6" w:rsidRDefault="00CB2DA6" w:rsidP="00CB2DA6">
            <w:pPr>
              <w:widowControl/>
              <w:autoSpaceDE/>
              <w:autoSpaceDN/>
              <w:jc w:val="center"/>
              <w:rPr>
                <w:rFonts w:ascii="Arial" w:hAnsi="Arial" w:cs="Arial"/>
                <w:color w:val="000000"/>
                <w:sz w:val="24"/>
                <w:szCs w:val="24"/>
                <w:lang w:val="en-US"/>
              </w:rPr>
            </w:pPr>
            <w:r w:rsidRPr="00CB2DA6">
              <w:rPr>
                <w:rFonts w:ascii="Arial" w:hAnsi="Arial" w:cs="Arial"/>
                <w:color w:val="000000"/>
                <w:sz w:val="24"/>
                <w:szCs w:val="24"/>
                <w:lang w:val="en-US"/>
              </w:rPr>
              <w:t>3</w:t>
            </w:r>
          </w:p>
        </w:tc>
        <w:tc>
          <w:tcPr>
            <w:tcW w:w="1770" w:type="dxa"/>
            <w:tcBorders>
              <w:top w:val="nil"/>
              <w:left w:val="nil"/>
              <w:bottom w:val="single" w:sz="8" w:space="0" w:color="auto"/>
              <w:right w:val="single" w:sz="8" w:space="0" w:color="auto"/>
            </w:tcBorders>
            <w:shd w:val="clear" w:color="auto" w:fill="auto"/>
            <w:vAlign w:val="center"/>
            <w:hideMark/>
          </w:tcPr>
          <w:p w14:paraId="33DADF70" w14:textId="77777777" w:rsidR="00CB2DA6" w:rsidRPr="00CB2DA6" w:rsidRDefault="00CB2DA6" w:rsidP="00CB2DA6">
            <w:pPr>
              <w:widowControl/>
              <w:autoSpaceDE/>
              <w:autoSpaceDN/>
              <w:jc w:val="center"/>
              <w:rPr>
                <w:rFonts w:ascii="Arial" w:hAnsi="Arial" w:cs="Arial"/>
                <w:color w:val="000000"/>
                <w:lang w:val="en-US"/>
              </w:rPr>
            </w:pPr>
            <w:r w:rsidRPr="00CB2DA6">
              <w:rPr>
                <w:rFonts w:ascii="Arial" w:hAnsi="Arial" w:cs="Arial"/>
                <w:color w:val="000000"/>
                <w:lang w:val="en-US"/>
              </w:rPr>
              <w:t xml:space="preserve">$49,720 </w:t>
            </w:r>
          </w:p>
        </w:tc>
        <w:tc>
          <w:tcPr>
            <w:tcW w:w="1769" w:type="dxa"/>
            <w:tcBorders>
              <w:top w:val="nil"/>
              <w:left w:val="nil"/>
              <w:bottom w:val="single" w:sz="8" w:space="0" w:color="auto"/>
              <w:right w:val="single" w:sz="8" w:space="0" w:color="auto"/>
            </w:tcBorders>
            <w:shd w:val="clear" w:color="auto" w:fill="auto"/>
            <w:vAlign w:val="center"/>
            <w:hideMark/>
          </w:tcPr>
          <w:p w14:paraId="6EBA8F45" w14:textId="77777777" w:rsidR="00CB2DA6" w:rsidRPr="00CB2DA6" w:rsidRDefault="00CB2DA6" w:rsidP="00CB2DA6">
            <w:pPr>
              <w:widowControl/>
              <w:autoSpaceDE/>
              <w:autoSpaceDN/>
              <w:jc w:val="center"/>
              <w:rPr>
                <w:rFonts w:ascii="Arial" w:hAnsi="Arial" w:cs="Arial"/>
                <w:color w:val="000000"/>
                <w:lang w:val="en-US"/>
              </w:rPr>
            </w:pPr>
            <w:r w:rsidRPr="00CB2DA6">
              <w:rPr>
                <w:rFonts w:ascii="Arial" w:hAnsi="Arial" w:cs="Arial"/>
                <w:color w:val="000000"/>
                <w:lang w:val="en-US"/>
              </w:rPr>
              <w:t xml:space="preserve">$75,580 </w:t>
            </w:r>
          </w:p>
        </w:tc>
        <w:tc>
          <w:tcPr>
            <w:tcW w:w="1769" w:type="dxa"/>
            <w:tcBorders>
              <w:top w:val="nil"/>
              <w:left w:val="nil"/>
              <w:bottom w:val="single" w:sz="8" w:space="0" w:color="auto"/>
              <w:right w:val="single" w:sz="8" w:space="0" w:color="auto"/>
            </w:tcBorders>
            <w:shd w:val="clear" w:color="auto" w:fill="auto"/>
            <w:vAlign w:val="center"/>
            <w:hideMark/>
          </w:tcPr>
          <w:p w14:paraId="06174421" w14:textId="77777777" w:rsidR="00CB2DA6" w:rsidRPr="00CB2DA6" w:rsidRDefault="00CB2DA6" w:rsidP="00CB2DA6">
            <w:pPr>
              <w:widowControl/>
              <w:autoSpaceDE/>
              <w:autoSpaceDN/>
              <w:jc w:val="center"/>
              <w:rPr>
                <w:rFonts w:ascii="Arial" w:hAnsi="Arial" w:cs="Arial"/>
                <w:color w:val="000000"/>
                <w:lang w:val="en-US"/>
              </w:rPr>
            </w:pPr>
            <w:r w:rsidRPr="00CB2DA6">
              <w:rPr>
                <w:rFonts w:ascii="Arial" w:hAnsi="Arial" w:cs="Arial"/>
                <w:color w:val="000000"/>
                <w:lang w:val="en-US"/>
              </w:rPr>
              <w:t xml:space="preserve">$87,010 </w:t>
            </w:r>
          </w:p>
        </w:tc>
        <w:tc>
          <w:tcPr>
            <w:tcW w:w="1769" w:type="dxa"/>
            <w:tcBorders>
              <w:top w:val="nil"/>
              <w:left w:val="nil"/>
              <w:bottom w:val="single" w:sz="8" w:space="0" w:color="auto"/>
              <w:right w:val="single" w:sz="8" w:space="0" w:color="auto"/>
            </w:tcBorders>
            <w:shd w:val="clear" w:color="auto" w:fill="auto"/>
            <w:vAlign w:val="center"/>
            <w:hideMark/>
          </w:tcPr>
          <w:p w14:paraId="459D556B" w14:textId="77777777" w:rsidR="00CB2DA6" w:rsidRPr="00CB2DA6" w:rsidRDefault="00CB2DA6" w:rsidP="00CB2DA6">
            <w:pPr>
              <w:widowControl/>
              <w:autoSpaceDE/>
              <w:autoSpaceDN/>
              <w:jc w:val="center"/>
              <w:rPr>
                <w:rFonts w:ascii="Arial" w:hAnsi="Arial" w:cs="Arial"/>
                <w:color w:val="000000"/>
                <w:lang w:val="en-US"/>
              </w:rPr>
            </w:pPr>
            <w:r w:rsidRPr="00CB2DA6">
              <w:rPr>
                <w:rFonts w:ascii="Arial" w:hAnsi="Arial" w:cs="Arial"/>
                <w:color w:val="000000"/>
                <w:lang w:val="en-US"/>
              </w:rPr>
              <w:t xml:space="preserve">$99,440 </w:t>
            </w:r>
          </w:p>
        </w:tc>
        <w:tc>
          <w:tcPr>
            <w:tcW w:w="1771" w:type="dxa"/>
            <w:tcBorders>
              <w:top w:val="nil"/>
              <w:left w:val="nil"/>
              <w:bottom w:val="single" w:sz="8" w:space="0" w:color="auto"/>
              <w:right w:val="single" w:sz="8" w:space="0" w:color="auto"/>
            </w:tcBorders>
            <w:shd w:val="clear" w:color="auto" w:fill="auto"/>
            <w:vAlign w:val="center"/>
            <w:hideMark/>
          </w:tcPr>
          <w:p w14:paraId="3FE2C2E3" w14:textId="77777777" w:rsidR="00CB2DA6" w:rsidRPr="00CB2DA6" w:rsidRDefault="00CB2DA6" w:rsidP="00CB2DA6">
            <w:pPr>
              <w:widowControl/>
              <w:autoSpaceDE/>
              <w:autoSpaceDN/>
              <w:jc w:val="center"/>
              <w:rPr>
                <w:rFonts w:ascii="Arial" w:hAnsi="Arial" w:cs="Arial"/>
                <w:color w:val="000000"/>
                <w:lang w:val="en-US"/>
              </w:rPr>
            </w:pPr>
            <w:r w:rsidRPr="00CB2DA6">
              <w:rPr>
                <w:rFonts w:ascii="Arial" w:hAnsi="Arial" w:cs="Arial"/>
                <w:color w:val="000000"/>
                <w:lang w:val="en-US"/>
              </w:rPr>
              <w:t xml:space="preserve">$99,441 </w:t>
            </w:r>
          </w:p>
        </w:tc>
      </w:tr>
      <w:tr w:rsidR="00CB2DA6" w:rsidRPr="00CB2DA6" w14:paraId="1076B055" w14:textId="77777777" w:rsidTr="00CB2DA6">
        <w:trPr>
          <w:trHeight w:val="645"/>
        </w:trPr>
        <w:tc>
          <w:tcPr>
            <w:tcW w:w="1307" w:type="dxa"/>
            <w:tcBorders>
              <w:top w:val="nil"/>
              <w:left w:val="single" w:sz="8" w:space="0" w:color="auto"/>
              <w:bottom w:val="single" w:sz="8" w:space="0" w:color="auto"/>
              <w:right w:val="single" w:sz="8" w:space="0" w:color="auto"/>
            </w:tcBorders>
            <w:shd w:val="clear" w:color="000000" w:fill="DBE5F1"/>
            <w:vAlign w:val="center"/>
            <w:hideMark/>
          </w:tcPr>
          <w:p w14:paraId="3F2107FA" w14:textId="77777777" w:rsidR="00CB2DA6" w:rsidRPr="00CB2DA6" w:rsidRDefault="00CB2DA6" w:rsidP="00CB2DA6">
            <w:pPr>
              <w:widowControl/>
              <w:autoSpaceDE/>
              <w:autoSpaceDN/>
              <w:jc w:val="center"/>
              <w:rPr>
                <w:rFonts w:ascii="Arial" w:hAnsi="Arial" w:cs="Arial"/>
                <w:color w:val="000000"/>
                <w:sz w:val="24"/>
                <w:szCs w:val="24"/>
                <w:lang w:val="en-US"/>
              </w:rPr>
            </w:pPr>
            <w:r w:rsidRPr="00CB2DA6">
              <w:rPr>
                <w:rFonts w:ascii="Arial" w:hAnsi="Arial" w:cs="Arial"/>
                <w:color w:val="000000"/>
                <w:sz w:val="24"/>
                <w:szCs w:val="24"/>
                <w:lang w:val="en-US"/>
              </w:rPr>
              <w:t>4</w:t>
            </w:r>
          </w:p>
        </w:tc>
        <w:tc>
          <w:tcPr>
            <w:tcW w:w="1770" w:type="dxa"/>
            <w:tcBorders>
              <w:top w:val="nil"/>
              <w:left w:val="nil"/>
              <w:bottom w:val="single" w:sz="8" w:space="0" w:color="auto"/>
              <w:right w:val="single" w:sz="8" w:space="0" w:color="auto"/>
            </w:tcBorders>
            <w:shd w:val="clear" w:color="000000" w:fill="DBE5F1"/>
            <w:vAlign w:val="center"/>
            <w:hideMark/>
          </w:tcPr>
          <w:p w14:paraId="713BCC12" w14:textId="77777777" w:rsidR="00CB2DA6" w:rsidRPr="00CB2DA6" w:rsidRDefault="00CB2DA6" w:rsidP="00CB2DA6">
            <w:pPr>
              <w:widowControl/>
              <w:autoSpaceDE/>
              <w:autoSpaceDN/>
              <w:jc w:val="center"/>
              <w:rPr>
                <w:rFonts w:ascii="Arial" w:hAnsi="Arial" w:cs="Arial"/>
                <w:color w:val="000000"/>
                <w:lang w:val="en-US"/>
              </w:rPr>
            </w:pPr>
            <w:r w:rsidRPr="00CB2DA6">
              <w:rPr>
                <w:rFonts w:ascii="Arial" w:hAnsi="Arial" w:cs="Arial"/>
                <w:color w:val="000000"/>
                <w:lang w:val="en-US"/>
              </w:rPr>
              <w:t xml:space="preserve">$60,000 </w:t>
            </w:r>
          </w:p>
        </w:tc>
        <w:tc>
          <w:tcPr>
            <w:tcW w:w="1769" w:type="dxa"/>
            <w:tcBorders>
              <w:top w:val="nil"/>
              <w:left w:val="nil"/>
              <w:bottom w:val="single" w:sz="8" w:space="0" w:color="auto"/>
              <w:right w:val="single" w:sz="8" w:space="0" w:color="auto"/>
            </w:tcBorders>
            <w:shd w:val="clear" w:color="000000" w:fill="DBE5F1"/>
            <w:vAlign w:val="center"/>
            <w:hideMark/>
          </w:tcPr>
          <w:p w14:paraId="1E10CEF8" w14:textId="77777777" w:rsidR="00CB2DA6" w:rsidRPr="00CB2DA6" w:rsidRDefault="00CB2DA6" w:rsidP="00CB2DA6">
            <w:pPr>
              <w:widowControl/>
              <w:autoSpaceDE/>
              <w:autoSpaceDN/>
              <w:jc w:val="center"/>
              <w:rPr>
                <w:rFonts w:ascii="Arial" w:hAnsi="Arial" w:cs="Arial"/>
                <w:color w:val="000000"/>
                <w:lang w:val="en-US"/>
              </w:rPr>
            </w:pPr>
            <w:r w:rsidRPr="00CB2DA6">
              <w:rPr>
                <w:rFonts w:ascii="Arial" w:hAnsi="Arial" w:cs="Arial"/>
                <w:color w:val="000000"/>
                <w:lang w:val="en-US"/>
              </w:rPr>
              <w:t xml:space="preserve">$90,000 </w:t>
            </w:r>
          </w:p>
        </w:tc>
        <w:tc>
          <w:tcPr>
            <w:tcW w:w="1769" w:type="dxa"/>
            <w:tcBorders>
              <w:top w:val="nil"/>
              <w:left w:val="nil"/>
              <w:bottom w:val="single" w:sz="8" w:space="0" w:color="auto"/>
              <w:right w:val="single" w:sz="8" w:space="0" w:color="auto"/>
            </w:tcBorders>
            <w:shd w:val="clear" w:color="000000" w:fill="DBE5F1"/>
            <w:vAlign w:val="center"/>
            <w:hideMark/>
          </w:tcPr>
          <w:p w14:paraId="05E0C076" w14:textId="77777777" w:rsidR="00CB2DA6" w:rsidRPr="00CB2DA6" w:rsidRDefault="00CB2DA6" w:rsidP="00CB2DA6">
            <w:pPr>
              <w:widowControl/>
              <w:autoSpaceDE/>
              <w:autoSpaceDN/>
              <w:jc w:val="center"/>
              <w:rPr>
                <w:rFonts w:ascii="Arial" w:hAnsi="Arial" w:cs="Arial"/>
                <w:color w:val="000000"/>
                <w:lang w:val="en-US"/>
              </w:rPr>
            </w:pPr>
            <w:r w:rsidRPr="00CB2DA6">
              <w:rPr>
                <w:rFonts w:ascii="Arial" w:hAnsi="Arial" w:cs="Arial"/>
                <w:color w:val="000000"/>
                <w:lang w:val="en-US"/>
              </w:rPr>
              <w:t xml:space="preserve">$105,000 </w:t>
            </w:r>
          </w:p>
        </w:tc>
        <w:tc>
          <w:tcPr>
            <w:tcW w:w="1769" w:type="dxa"/>
            <w:tcBorders>
              <w:top w:val="nil"/>
              <w:left w:val="nil"/>
              <w:bottom w:val="single" w:sz="8" w:space="0" w:color="auto"/>
              <w:right w:val="single" w:sz="8" w:space="0" w:color="auto"/>
            </w:tcBorders>
            <w:shd w:val="clear" w:color="000000" w:fill="DBE5F1"/>
            <w:vAlign w:val="center"/>
            <w:hideMark/>
          </w:tcPr>
          <w:p w14:paraId="1A442378" w14:textId="77777777" w:rsidR="00CB2DA6" w:rsidRPr="00CB2DA6" w:rsidRDefault="00CB2DA6" w:rsidP="00CB2DA6">
            <w:pPr>
              <w:widowControl/>
              <w:autoSpaceDE/>
              <w:autoSpaceDN/>
              <w:jc w:val="center"/>
              <w:rPr>
                <w:rFonts w:ascii="Arial" w:hAnsi="Arial" w:cs="Arial"/>
                <w:color w:val="000000"/>
                <w:lang w:val="en-US"/>
              </w:rPr>
            </w:pPr>
            <w:r w:rsidRPr="00CB2DA6">
              <w:rPr>
                <w:rFonts w:ascii="Arial" w:hAnsi="Arial" w:cs="Arial"/>
                <w:color w:val="000000"/>
                <w:lang w:val="en-US"/>
              </w:rPr>
              <w:t xml:space="preserve">$120,000 </w:t>
            </w:r>
          </w:p>
        </w:tc>
        <w:tc>
          <w:tcPr>
            <w:tcW w:w="1771" w:type="dxa"/>
            <w:tcBorders>
              <w:top w:val="nil"/>
              <w:left w:val="nil"/>
              <w:bottom w:val="single" w:sz="8" w:space="0" w:color="auto"/>
              <w:right w:val="single" w:sz="8" w:space="0" w:color="auto"/>
            </w:tcBorders>
            <w:shd w:val="clear" w:color="000000" w:fill="DBE5F1"/>
            <w:vAlign w:val="center"/>
            <w:hideMark/>
          </w:tcPr>
          <w:p w14:paraId="431179B3" w14:textId="77777777" w:rsidR="00CB2DA6" w:rsidRPr="00CB2DA6" w:rsidRDefault="00CB2DA6" w:rsidP="00CB2DA6">
            <w:pPr>
              <w:widowControl/>
              <w:autoSpaceDE/>
              <w:autoSpaceDN/>
              <w:jc w:val="center"/>
              <w:rPr>
                <w:rFonts w:ascii="Arial" w:hAnsi="Arial" w:cs="Arial"/>
                <w:color w:val="000000"/>
                <w:lang w:val="en-US"/>
              </w:rPr>
            </w:pPr>
            <w:r w:rsidRPr="00CB2DA6">
              <w:rPr>
                <w:rFonts w:ascii="Arial" w:hAnsi="Arial" w:cs="Arial"/>
                <w:color w:val="000000"/>
                <w:lang w:val="en-US"/>
              </w:rPr>
              <w:t xml:space="preserve">$120,001 </w:t>
            </w:r>
          </w:p>
        </w:tc>
      </w:tr>
      <w:tr w:rsidR="00CB2DA6" w:rsidRPr="00CB2DA6" w14:paraId="637054C6" w14:textId="77777777" w:rsidTr="00CB2DA6">
        <w:trPr>
          <w:trHeight w:val="645"/>
        </w:trPr>
        <w:tc>
          <w:tcPr>
            <w:tcW w:w="1307" w:type="dxa"/>
            <w:tcBorders>
              <w:top w:val="nil"/>
              <w:left w:val="single" w:sz="8" w:space="0" w:color="auto"/>
              <w:bottom w:val="single" w:sz="8" w:space="0" w:color="auto"/>
              <w:right w:val="single" w:sz="8" w:space="0" w:color="auto"/>
            </w:tcBorders>
            <w:shd w:val="clear" w:color="auto" w:fill="auto"/>
            <w:vAlign w:val="center"/>
            <w:hideMark/>
          </w:tcPr>
          <w:p w14:paraId="34575A5D" w14:textId="77777777" w:rsidR="00CB2DA6" w:rsidRPr="00CB2DA6" w:rsidRDefault="00CB2DA6" w:rsidP="00CB2DA6">
            <w:pPr>
              <w:widowControl/>
              <w:autoSpaceDE/>
              <w:autoSpaceDN/>
              <w:jc w:val="center"/>
              <w:rPr>
                <w:rFonts w:ascii="Arial" w:hAnsi="Arial" w:cs="Arial"/>
                <w:color w:val="000000"/>
                <w:sz w:val="24"/>
                <w:szCs w:val="24"/>
                <w:lang w:val="en-US"/>
              </w:rPr>
            </w:pPr>
            <w:r w:rsidRPr="00CB2DA6">
              <w:rPr>
                <w:rFonts w:ascii="Arial" w:hAnsi="Arial" w:cs="Arial"/>
                <w:color w:val="000000"/>
                <w:sz w:val="24"/>
                <w:szCs w:val="24"/>
                <w:lang w:val="en-US"/>
              </w:rPr>
              <w:t>5</w:t>
            </w:r>
          </w:p>
        </w:tc>
        <w:tc>
          <w:tcPr>
            <w:tcW w:w="1770" w:type="dxa"/>
            <w:tcBorders>
              <w:top w:val="nil"/>
              <w:left w:val="nil"/>
              <w:bottom w:val="single" w:sz="8" w:space="0" w:color="auto"/>
              <w:right w:val="single" w:sz="8" w:space="0" w:color="auto"/>
            </w:tcBorders>
            <w:shd w:val="clear" w:color="auto" w:fill="auto"/>
            <w:vAlign w:val="center"/>
            <w:hideMark/>
          </w:tcPr>
          <w:p w14:paraId="16325F14" w14:textId="77777777" w:rsidR="00CB2DA6" w:rsidRPr="00CB2DA6" w:rsidRDefault="00CB2DA6" w:rsidP="00CB2DA6">
            <w:pPr>
              <w:widowControl/>
              <w:autoSpaceDE/>
              <w:autoSpaceDN/>
              <w:jc w:val="center"/>
              <w:rPr>
                <w:rFonts w:ascii="Arial" w:hAnsi="Arial" w:cs="Arial"/>
                <w:color w:val="000000"/>
                <w:lang w:val="en-US"/>
              </w:rPr>
            </w:pPr>
            <w:r w:rsidRPr="00CB2DA6">
              <w:rPr>
                <w:rFonts w:ascii="Arial" w:hAnsi="Arial" w:cs="Arial"/>
                <w:color w:val="000000"/>
                <w:lang w:val="en-US"/>
              </w:rPr>
              <w:t xml:space="preserve">$70,280 </w:t>
            </w:r>
          </w:p>
        </w:tc>
        <w:tc>
          <w:tcPr>
            <w:tcW w:w="1769" w:type="dxa"/>
            <w:tcBorders>
              <w:top w:val="nil"/>
              <w:left w:val="nil"/>
              <w:bottom w:val="single" w:sz="8" w:space="0" w:color="auto"/>
              <w:right w:val="single" w:sz="8" w:space="0" w:color="auto"/>
            </w:tcBorders>
            <w:shd w:val="clear" w:color="auto" w:fill="auto"/>
            <w:vAlign w:val="center"/>
            <w:hideMark/>
          </w:tcPr>
          <w:p w14:paraId="25764C12" w14:textId="77777777" w:rsidR="00CB2DA6" w:rsidRPr="00CB2DA6" w:rsidRDefault="00CB2DA6" w:rsidP="00CB2DA6">
            <w:pPr>
              <w:widowControl/>
              <w:autoSpaceDE/>
              <w:autoSpaceDN/>
              <w:jc w:val="center"/>
              <w:rPr>
                <w:rFonts w:ascii="Arial" w:hAnsi="Arial" w:cs="Arial"/>
                <w:color w:val="000000"/>
                <w:lang w:val="en-US"/>
              </w:rPr>
            </w:pPr>
            <w:r w:rsidRPr="00CB2DA6">
              <w:rPr>
                <w:rFonts w:ascii="Arial" w:hAnsi="Arial" w:cs="Arial"/>
                <w:color w:val="000000"/>
                <w:lang w:val="en-US"/>
              </w:rPr>
              <w:t xml:space="preserve">$105,420 </w:t>
            </w:r>
          </w:p>
        </w:tc>
        <w:tc>
          <w:tcPr>
            <w:tcW w:w="1769" w:type="dxa"/>
            <w:tcBorders>
              <w:top w:val="nil"/>
              <w:left w:val="nil"/>
              <w:bottom w:val="single" w:sz="8" w:space="0" w:color="auto"/>
              <w:right w:val="single" w:sz="8" w:space="0" w:color="auto"/>
            </w:tcBorders>
            <w:shd w:val="clear" w:color="auto" w:fill="auto"/>
            <w:vAlign w:val="center"/>
            <w:hideMark/>
          </w:tcPr>
          <w:p w14:paraId="46512528" w14:textId="77777777" w:rsidR="00CB2DA6" w:rsidRPr="00CB2DA6" w:rsidRDefault="00CB2DA6" w:rsidP="00CB2DA6">
            <w:pPr>
              <w:widowControl/>
              <w:autoSpaceDE/>
              <w:autoSpaceDN/>
              <w:jc w:val="center"/>
              <w:rPr>
                <w:rFonts w:ascii="Arial" w:hAnsi="Arial" w:cs="Arial"/>
                <w:color w:val="000000"/>
                <w:lang w:val="en-US"/>
              </w:rPr>
            </w:pPr>
            <w:r w:rsidRPr="00CB2DA6">
              <w:rPr>
                <w:rFonts w:ascii="Arial" w:hAnsi="Arial" w:cs="Arial"/>
                <w:color w:val="000000"/>
                <w:lang w:val="en-US"/>
              </w:rPr>
              <w:t xml:space="preserve">$122,990 </w:t>
            </w:r>
          </w:p>
        </w:tc>
        <w:tc>
          <w:tcPr>
            <w:tcW w:w="1769" w:type="dxa"/>
            <w:tcBorders>
              <w:top w:val="nil"/>
              <w:left w:val="nil"/>
              <w:bottom w:val="single" w:sz="8" w:space="0" w:color="auto"/>
              <w:right w:val="single" w:sz="8" w:space="0" w:color="auto"/>
            </w:tcBorders>
            <w:shd w:val="clear" w:color="auto" w:fill="auto"/>
            <w:vAlign w:val="center"/>
            <w:hideMark/>
          </w:tcPr>
          <w:p w14:paraId="320B4879" w14:textId="77777777" w:rsidR="00CB2DA6" w:rsidRPr="00CB2DA6" w:rsidRDefault="00CB2DA6" w:rsidP="00CB2DA6">
            <w:pPr>
              <w:widowControl/>
              <w:autoSpaceDE/>
              <w:autoSpaceDN/>
              <w:jc w:val="center"/>
              <w:rPr>
                <w:rFonts w:ascii="Arial" w:hAnsi="Arial" w:cs="Arial"/>
                <w:color w:val="000000"/>
                <w:lang w:val="en-US"/>
              </w:rPr>
            </w:pPr>
            <w:r w:rsidRPr="00CB2DA6">
              <w:rPr>
                <w:rFonts w:ascii="Arial" w:hAnsi="Arial" w:cs="Arial"/>
                <w:color w:val="000000"/>
                <w:lang w:val="en-US"/>
              </w:rPr>
              <w:t xml:space="preserve">$140,560 </w:t>
            </w:r>
          </w:p>
        </w:tc>
        <w:tc>
          <w:tcPr>
            <w:tcW w:w="1771" w:type="dxa"/>
            <w:tcBorders>
              <w:top w:val="nil"/>
              <w:left w:val="nil"/>
              <w:bottom w:val="single" w:sz="8" w:space="0" w:color="auto"/>
              <w:right w:val="single" w:sz="8" w:space="0" w:color="auto"/>
            </w:tcBorders>
            <w:shd w:val="clear" w:color="auto" w:fill="auto"/>
            <w:vAlign w:val="center"/>
            <w:hideMark/>
          </w:tcPr>
          <w:p w14:paraId="75E814BC" w14:textId="77777777" w:rsidR="00CB2DA6" w:rsidRPr="00CB2DA6" w:rsidRDefault="00CB2DA6" w:rsidP="00CB2DA6">
            <w:pPr>
              <w:widowControl/>
              <w:autoSpaceDE/>
              <w:autoSpaceDN/>
              <w:jc w:val="center"/>
              <w:rPr>
                <w:rFonts w:ascii="Arial" w:hAnsi="Arial" w:cs="Arial"/>
                <w:color w:val="000000"/>
                <w:lang w:val="en-US"/>
              </w:rPr>
            </w:pPr>
            <w:r w:rsidRPr="00CB2DA6">
              <w:rPr>
                <w:rFonts w:ascii="Arial" w:hAnsi="Arial" w:cs="Arial"/>
                <w:color w:val="000000"/>
                <w:lang w:val="en-US"/>
              </w:rPr>
              <w:t xml:space="preserve">$140,561 </w:t>
            </w:r>
          </w:p>
        </w:tc>
      </w:tr>
      <w:tr w:rsidR="00CB2DA6" w:rsidRPr="00CB2DA6" w14:paraId="7A0C8302" w14:textId="77777777" w:rsidTr="00CB2DA6">
        <w:trPr>
          <w:trHeight w:val="645"/>
        </w:trPr>
        <w:tc>
          <w:tcPr>
            <w:tcW w:w="1307" w:type="dxa"/>
            <w:tcBorders>
              <w:top w:val="nil"/>
              <w:left w:val="single" w:sz="8" w:space="0" w:color="auto"/>
              <w:bottom w:val="single" w:sz="8" w:space="0" w:color="auto"/>
              <w:right w:val="single" w:sz="8" w:space="0" w:color="auto"/>
            </w:tcBorders>
            <w:shd w:val="clear" w:color="000000" w:fill="DBE5F1"/>
            <w:vAlign w:val="center"/>
            <w:hideMark/>
          </w:tcPr>
          <w:p w14:paraId="67712018" w14:textId="77777777" w:rsidR="00CB2DA6" w:rsidRPr="00CB2DA6" w:rsidRDefault="00CB2DA6" w:rsidP="00CB2DA6">
            <w:pPr>
              <w:widowControl/>
              <w:autoSpaceDE/>
              <w:autoSpaceDN/>
              <w:jc w:val="center"/>
              <w:rPr>
                <w:rFonts w:ascii="Arial" w:hAnsi="Arial" w:cs="Arial"/>
                <w:color w:val="000000"/>
                <w:sz w:val="24"/>
                <w:szCs w:val="24"/>
                <w:lang w:val="en-US"/>
              </w:rPr>
            </w:pPr>
            <w:r w:rsidRPr="00CB2DA6">
              <w:rPr>
                <w:rFonts w:ascii="Arial" w:hAnsi="Arial" w:cs="Arial"/>
                <w:color w:val="000000"/>
                <w:sz w:val="24"/>
                <w:szCs w:val="24"/>
                <w:lang w:val="en-US"/>
              </w:rPr>
              <w:t>6</w:t>
            </w:r>
          </w:p>
        </w:tc>
        <w:tc>
          <w:tcPr>
            <w:tcW w:w="1770" w:type="dxa"/>
            <w:tcBorders>
              <w:top w:val="nil"/>
              <w:left w:val="nil"/>
              <w:bottom w:val="single" w:sz="8" w:space="0" w:color="auto"/>
              <w:right w:val="single" w:sz="8" w:space="0" w:color="auto"/>
            </w:tcBorders>
            <w:shd w:val="clear" w:color="000000" w:fill="DBE5F1"/>
            <w:vAlign w:val="center"/>
            <w:hideMark/>
          </w:tcPr>
          <w:p w14:paraId="79E935B2" w14:textId="77777777" w:rsidR="00CB2DA6" w:rsidRPr="00CB2DA6" w:rsidRDefault="00CB2DA6" w:rsidP="00CB2DA6">
            <w:pPr>
              <w:widowControl/>
              <w:autoSpaceDE/>
              <w:autoSpaceDN/>
              <w:jc w:val="center"/>
              <w:rPr>
                <w:rFonts w:ascii="Arial" w:hAnsi="Arial" w:cs="Arial"/>
                <w:color w:val="000000"/>
                <w:lang w:val="en-US"/>
              </w:rPr>
            </w:pPr>
            <w:r w:rsidRPr="00CB2DA6">
              <w:rPr>
                <w:rFonts w:ascii="Arial" w:hAnsi="Arial" w:cs="Arial"/>
                <w:color w:val="000000"/>
                <w:lang w:val="en-US"/>
              </w:rPr>
              <w:t xml:space="preserve">$80,560 </w:t>
            </w:r>
          </w:p>
        </w:tc>
        <w:tc>
          <w:tcPr>
            <w:tcW w:w="1769" w:type="dxa"/>
            <w:tcBorders>
              <w:top w:val="nil"/>
              <w:left w:val="nil"/>
              <w:bottom w:val="single" w:sz="8" w:space="0" w:color="auto"/>
              <w:right w:val="single" w:sz="8" w:space="0" w:color="auto"/>
            </w:tcBorders>
            <w:shd w:val="clear" w:color="000000" w:fill="DBE5F1"/>
            <w:vAlign w:val="center"/>
            <w:hideMark/>
          </w:tcPr>
          <w:p w14:paraId="02BDECF9" w14:textId="77777777" w:rsidR="00CB2DA6" w:rsidRPr="00CB2DA6" w:rsidRDefault="00CB2DA6" w:rsidP="00CB2DA6">
            <w:pPr>
              <w:widowControl/>
              <w:autoSpaceDE/>
              <w:autoSpaceDN/>
              <w:jc w:val="center"/>
              <w:rPr>
                <w:rFonts w:ascii="Arial" w:hAnsi="Arial" w:cs="Arial"/>
                <w:color w:val="000000"/>
                <w:lang w:val="en-US"/>
              </w:rPr>
            </w:pPr>
            <w:r w:rsidRPr="00CB2DA6">
              <w:rPr>
                <w:rFonts w:ascii="Arial" w:hAnsi="Arial" w:cs="Arial"/>
                <w:color w:val="000000"/>
                <w:lang w:val="en-US"/>
              </w:rPr>
              <w:t xml:space="preserve">$120,840 </w:t>
            </w:r>
          </w:p>
        </w:tc>
        <w:tc>
          <w:tcPr>
            <w:tcW w:w="1769" w:type="dxa"/>
            <w:tcBorders>
              <w:top w:val="nil"/>
              <w:left w:val="nil"/>
              <w:bottom w:val="single" w:sz="8" w:space="0" w:color="auto"/>
              <w:right w:val="single" w:sz="8" w:space="0" w:color="auto"/>
            </w:tcBorders>
            <w:shd w:val="clear" w:color="000000" w:fill="DBE5F1"/>
            <w:vAlign w:val="center"/>
            <w:hideMark/>
          </w:tcPr>
          <w:p w14:paraId="4B38B0F2" w14:textId="77777777" w:rsidR="00CB2DA6" w:rsidRPr="00CB2DA6" w:rsidRDefault="00CB2DA6" w:rsidP="00CB2DA6">
            <w:pPr>
              <w:widowControl/>
              <w:autoSpaceDE/>
              <w:autoSpaceDN/>
              <w:jc w:val="center"/>
              <w:rPr>
                <w:rFonts w:ascii="Arial" w:hAnsi="Arial" w:cs="Arial"/>
                <w:color w:val="000000"/>
                <w:lang w:val="en-US"/>
              </w:rPr>
            </w:pPr>
            <w:r w:rsidRPr="00CB2DA6">
              <w:rPr>
                <w:rFonts w:ascii="Arial" w:hAnsi="Arial" w:cs="Arial"/>
                <w:color w:val="000000"/>
                <w:lang w:val="en-US"/>
              </w:rPr>
              <w:t xml:space="preserve">$140,980 </w:t>
            </w:r>
          </w:p>
        </w:tc>
        <w:tc>
          <w:tcPr>
            <w:tcW w:w="1769" w:type="dxa"/>
            <w:tcBorders>
              <w:top w:val="nil"/>
              <w:left w:val="nil"/>
              <w:bottom w:val="single" w:sz="8" w:space="0" w:color="auto"/>
              <w:right w:val="single" w:sz="8" w:space="0" w:color="auto"/>
            </w:tcBorders>
            <w:shd w:val="clear" w:color="000000" w:fill="DBE5F1"/>
            <w:vAlign w:val="center"/>
            <w:hideMark/>
          </w:tcPr>
          <w:p w14:paraId="58E91F5D" w14:textId="77777777" w:rsidR="00CB2DA6" w:rsidRPr="00CB2DA6" w:rsidRDefault="00CB2DA6" w:rsidP="00CB2DA6">
            <w:pPr>
              <w:widowControl/>
              <w:autoSpaceDE/>
              <w:autoSpaceDN/>
              <w:jc w:val="center"/>
              <w:rPr>
                <w:rFonts w:ascii="Arial" w:hAnsi="Arial" w:cs="Arial"/>
                <w:color w:val="000000"/>
                <w:lang w:val="en-US"/>
              </w:rPr>
            </w:pPr>
            <w:r w:rsidRPr="00CB2DA6">
              <w:rPr>
                <w:rFonts w:ascii="Arial" w:hAnsi="Arial" w:cs="Arial"/>
                <w:color w:val="000000"/>
                <w:lang w:val="en-US"/>
              </w:rPr>
              <w:t xml:space="preserve">$161,120 </w:t>
            </w:r>
          </w:p>
        </w:tc>
        <w:tc>
          <w:tcPr>
            <w:tcW w:w="1771" w:type="dxa"/>
            <w:tcBorders>
              <w:top w:val="nil"/>
              <w:left w:val="nil"/>
              <w:bottom w:val="single" w:sz="8" w:space="0" w:color="auto"/>
              <w:right w:val="single" w:sz="8" w:space="0" w:color="auto"/>
            </w:tcBorders>
            <w:shd w:val="clear" w:color="000000" w:fill="DBE5F1"/>
            <w:vAlign w:val="center"/>
            <w:hideMark/>
          </w:tcPr>
          <w:p w14:paraId="02650F67" w14:textId="77777777" w:rsidR="00CB2DA6" w:rsidRPr="00CB2DA6" w:rsidRDefault="00CB2DA6" w:rsidP="00CB2DA6">
            <w:pPr>
              <w:widowControl/>
              <w:autoSpaceDE/>
              <w:autoSpaceDN/>
              <w:jc w:val="center"/>
              <w:rPr>
                <w:rFonts w:ascii="Arial" w:hAnsi="Arial" w:cs="Arial"/>
                <w:color w:val="000000"/>
                <w:lang w:val="en-US"/>
              </w:rPr>
            </w:pPr>
            <w:r w:rsidRPr="00CB2DA6">
              <w:rPr>
                <w:rFonts w:ascii="Arial" w:hAnsi="Arial" w:cs="Arial"/>
                <w:color w:val="000000"/>
                <w:lang w:val="en-US"/>
              </w:rPr>
              <w:t xml:space="preserve">$161,121 </w:t>
            </w:r>
          </w:p>
        </w:tc>
      </w:tr>
      <w:tr w:rsidR="00CB2DA6" w:rsidRPr="00CB2DA6" w14:paraId="16546AC1" w14:textId="77777777" w:rsidTr="00CB2DA6">
        <w:trPr>
          <w:trHeight w:val="645"/>
        </w:trPr>
        <w:tc>
          <w:tcPr>
            <w:tcW w:w="1307" w:type="dxa"/>
            <w:tcBorders>
              <w:top w:val="nil"/>
              <w:left w:val="single" w:sz="8" w:space="0" w:color="auto"/>
              <w:bottom w:val="single" w:sz="8" w:space="0" w:color="auto"/>
              <w:right w:val="single" w:sz="8" w:space="0" w:color="auto"/>
            </w:tcBorders>
            <w:shd w:val="clear" w:color="auto" w:fill="auto"/>
            <w:vAlign w:val="center"/>
            <w:hideMark/>
          </w:tcPr>
          <w:p w14:paraId="4D0AE475" w14:textId="77777777" w:rsidR="00CB2DA6" w:rsidRPr="00CB2DA6" w:rsidRDefault="00CB2DA6" w:rsidP="00CB2DA6">
            <w:pPr>
              <w:widowControl/>
              <w:autoSpaceDE/>
              <w:autoSpaceDN/>
              <w:jc w:val="center"/>
              <w:rPr>
                <w:rFonts w:ascii="Arial" w:hAnsi="Arial" w:cs="Arial"/>
                <w:color w:val="000000"/>
                <w:sz w:val="24"/>
                <w:szCs w:val="24"/>
                <w:lang w:val="en-US"/>
              </w:rPr>
            </w:pPr>
            <w:r w:rsidRPr="00CB2DA6">
              <w:rPr>
                <w:rFonts w:ascii="Arial" w:hAnsi="Arial" w:cs="Arial"/>
                <w:color w:val="000000"/>
                <w:sz w:val="24"/>
                <w:szCs w:val="24"/>
                <w:lang w:val="en-US"/>
              </w:rPr>
              <w:t>7</w:t>
            </w:r>
          </w:p>
        </w:tc>
        <w:tc>
          <w:tcPr>
            <w:tcW w:w="1770" w:type="dxa"/>
            <w:tcBorders>
              <w:top w:val="nil"/>
              <w:left w:val="nil"/>
              <w:bottom w:val="single" w:sz="8" w:space="0" w:color="auto"/>
              <w:right w:val="single" w:sz="8" w:space="0" w:color="auto"/>
            </w:tcBorders>
            <w:shd w:val="clear" w:color="auto" w:fill="auto"/>
            <w:vAlign w:val="center"/>
            <w:hideMark/>
          </w:tcPr>
          <w:p w14:paraId="35EB294E" w14:textId="77777777" w:rsidR="00CB2DA6" w:rsidRPr="00CB2DA6" w:rsidRDefault="00CB2DA6" w:rsidP="00CB2DA6">
            <w:pPr>
              <w:widowControl/>
              <w:autoSpaceDE/>
              <w:autoSpaceDN/>
              <w:jc w:val="center"/>
              <w:rPr>
                <w:rFonts w:ascii="Arial" w:hAnsi="Arial" w:cs="Arial"/>
                <w:color w:val="000000"/>
                <w:lang w:val="en-US"/>
              </w:rPr>
            </w:pPr>
            <w:r w:rsidRPr="00CB2DA6">
              <w:rPr>
                <w:rFonts w:ascii="Arial" w:hAnsi="Arial" w:cs="Arial"/>
                <w:color w:val="000000"/>
                <w:lang w:val="en-US"/>
              </w:rPr>
              <w:t xml:space="preserve">$90,840 </w:t>
            </w:r>
          </w:p>
        </w:tc>
        <w:tc>
          <w:tcPr>
            <w:tcW w:w="1769" w:type="dxa"/>
            <w:tcBorders>
              <w:top w:val="nil"/>
              <w:left w:val="nil"/>
              <w:bottom w:val="single" w:sz="8" w:space="0" w:color="auto"/>
              <w:right w:val="single" w:sz="8" w:space="0" w:color="auto"/>
            </w:tcBorders>
            <w:shd w:val="clear" w:color="auto" w:fill="auto"/>
            <w:vAlign w:val="center"/>
            <w:hideMark/>
          </w:tcPr>
          <w:p w14:paraId="199C7625" w14:textId="77777777" w:rsidR="00CB2DA6" w:rsidRPr="00CB2DA6" w:rsidRDefault="00CB2DA6" w:rsidP="00CB2DA6">
            <w:pPr>
              <w:widowControl/>
              <w:autoSpaceDE/>
              <w:autoSpaceDN/>
              <w:jc w:val="center"/>
              <w:rPr>
                <w:rFonts w:ascii="Arial" w:hAnsi="Arial" w:cs="Arial"/>
                <w:color w:val="000000"/>
                <w:lang w:val="en-US"/>
              </w:rPr>
            </w:pPr>
            <w:r w:rsidRPr="00CB2DA6">
              <w:rPr>
                <w:rFonts w:ascii="Arial" w:hAnsi="Arial" w:cs="Arial"/>
                <w:color w:val="000000"/>
                <w:lang w:val="en-US"/>
              </w:rPr>
              <w:t xml:space="preserve">$136,260 </w:t>
            </w:r>
          </w:p>
        </w:tc>
        <w:tc>
          <w:tcPr>
            <w:tcW w:w="1769" w:type="dxa"/>
            <w:tcBorders>
              <w:top w:val="nil"/>
              <w:left w:val="nil"/>
              <w:bottom w:val="single" w:sz="8" w:space="0" w:color="auto"/>
              <w:right w:val="single" w:sz="8" w:space="0" w:color="auto"/>
            </w:tcBorders>
            <w:shd w:val="clear" w:color="auto" w:fill="auto"/>
            <w:vAlign w:val="center"/>
            <w:hideMark/>
          </w:tcPr>
          <w:p w14:paraId="226D36FF" w14:textId="77777777" w:rsidR="00CB2DA6" w:rsidRPr="00CB2DA6" w:rsidRDefault="00CB2DA6" w:rsidP="00CB2DA6">
            <w:pPr>
              <w:widowControl/>
              <w:autoSpaceDE/>
              <w:autoSpaceDN/>
              <w:jc w:val="center"/>
              <w:rPr>
                <w:rFonts w:ascii="Arial" w:hAnsi="Arial" w:cs="Arial"/>
                <w:color w:val="000000"/>
                <w:lang w:val="en-US"/>
              </w:rPr>
            </w:pPr>
            <w:r w:rsidRPr="00CB2DA6">
              <w:rPr>
                <w:rFonts w:ascii="Arial" w:hAnsi="Arial" w:cs="Arial"/>
                <w:color w:val="000000"/>
                <w:lang w:val="en-US"/>
              </w:rPr>
              <w:t xml:space="preserve">$158,970 </w:t>
            </w:r>
          </w:p>
        </w:tc>
        <w:tc>
          <w:tcPr>
            <w:tcW w:w="1769" w:type="dxa"/>
            <w:tcBorders>
              <w:top w:val="nil"/>
              <w:left w:val="nil"/>
              <w:bottom w:val="single" w:sz="8" w:space="0" w:color="auto"/>
              <w:right w:val="single" w:sz="8" w:space="0" w:color="auto"/>
            </w:tcBorders>
            <w:shd w:val="clear" w:color="auto" w:fill="auto"/>
            <w:vAlign w:val="center"/>
            <w:hideMark/>
          </w:tcPr>
          <w:p w14:paraId="52E38809" w14:textId="77777777" w:rsidR="00CB2DA6" w:rsidRPr="00CB2DA6" w:rsidRDefault="00CB2DA6" w:rsidP="00CB2DA6">
            <w:pPr>
              <w:widowControl/>
              <w:autoSpaceDE/>
              <w:autoSpaceDN/>
              <w:jc w:val="center"/>
              <w:rPr>
                <w:rFonts w:ascii="Arial" w:hAnsi="Arial" w:cs="Arial"/>
                <w:color w:val="000000"/>
                <w:lang w:val="en-US"/>
              </w:rPr>
            </w:pPr>
            <w:r w:rsidRPr="00CB2DA6">
              <w:rPr>
                <w:rFonts w:ascii="Arial" w:hAnsi="Arial" w:cs="Arial"/>
                <w:color w:val="000000"/>
                <w:lang w:val="en-US"/>
              </w:rPr>
              <w:t xml:space="preserve">$181,680 </w:t>
            </w:r>
          </w:p>
        </w:tc>
        <w:tc>
          <w:tcPr>
            <w:tcW w:w="1771" w:type="dxa"/>
            <w:tcBorders>
              <w:top w:val="nil"/>
              <w:left w:val="nil"/>
              <w:bottom w:val="single" w:sz="8" w:space="0" w:color="auto"/>
              <w:right w:val="single" w:sz="8" w:space="0" w:color="auto"/>
            </w:tcBorders>
            <w:shd w:val="clear" w:color="auto" w:fill="auto"/>
            <w:vAlign w:val="center"/>
            <w:hideMark/>
          </w:tcPr>
          <w:p w14:paraId="7DE6B255" w14:textId="77777777" w:rsidR="00CB2DA6" w:rsidRPr="00CB2DA6" w:rsidRDefault="00CB2DA6" w:rsidP="00CB2DA6">
            <w:pPr>
              <w:widowControl/>
              <w:autoSpaceDE/>
              <w:autoSpaceDN/>
              <w:jc w:val="center"/>
              <w:rPr>
                <w:rFonts w:ascii="Arial" w:hAnsi="Arial" w:cs="Arial"/>
                <w:color w:val="000000"/>
                <w:lang w:val="en-US"/>
              </w:rPr>
            </w:pPr>
            <w:r w:rsidRPr="00CB2DA6">
              <w:rPr>
                <w:rFonts w:ascii="Arial" w:hAnsi="Arial" w:cs="Arial"/>
                <w:color w:val="000000"/>
                <w:lang w:val="en-US"/>
              </w:rPr>
              <w:t xml:space="preserve">$181,681 </w:t>
            </w:r>
          </w:p>
        </w:tc>
      </w:tr>
      <w:tr w:rsidR="00CB2DA6" w:rsidRPr="00CB2DA6" w14:paraId="002F163C" w14:textId="77777777" w:rsidTr="00CB2DA6">
        <w:trPr>
          <w:trHeight w:val="645"/>
        </w:trPr>
        <w:tc>
          <w:tcPr>
            <w:tcW w:w="1307" w:type="dxa"/>
            <w:tcBorders>
              <w:top w:val="nil"/>
              <w:left w:val="single" w:sz="8" w:space="0" w:color="auto"/>
              <w:bottom w:val="single" w:sz="8" w:space="0" w:color="auto"/>
              <w:right w:val="single" w:sz="8" w:space="0" w:color="auto"/>
            </w:tcBorders>
            <w:shd w:val="clear" w:color="000000" w:fill="DBE5F1"/>
            <w:vAlign w:val="center"/>
            <w:hideMark/>
          </w:tcPr>
          <w:p w14:paraId="3F903BF7" w14:textId="77777777" w:rsidR="00CB2DA6" w:rsidRPr="00CB2DA6" w:rsidRDefault="00CB2DA6" w:rsidP="00CB2DA6">
            <w:pPr>
              <w:widowControl/>
              <w:autoSpaceDE/>
              <w:autoSpaceDN/>
              <w:jc w:val="center"/>
              <w:rPr>
                <w:rFonts w:ascii="Arial" w:hAnsi="Arial" w:cs="Arial"/>
                <w:color w:val="000000"/>
                <w:sz w:val="24"/>
                <w:szCs w:val="24"/>
                <w:lang w:val="en-US"/>
              </w:rPr>
            </w:pPr>
            <w:r w:rsidRPr="00CB2DA6">
              <w:rPr>
                <w:rFonts w:ascii="Arial" w:hAnsi="Arial" w:cs="Arial"/>
                <w:color w:val="000000"/>
                <w:sz w:val="24"/>
                <w:szCs w:val="24"/>
                <w:lang w:val="en-US"/>
              </w:rPr>
              <w:t>8</w:t>
            </w:r>
          </w:p>
        </w:tc>
        <w:tc>
          <w:tcPr>
            <w:tcW w:w="1770" w:type="dxa"/>
            <w:tcBorders>
              <w:top w:val="nil"/>
              <w:left w:val="nil"/>
              <w:bottom w:val="single" w:sz="8" w:space="0" w:color="auto"/>
              <w:right w:val="single" w:sz="8" w:space="0" w:color="auto"/>
            </w:tcBorders>
            <w:shd w:val="clear" w:color="000000" w:fill="DBE5F1"/>
            <w:vAlign w:val="center"/>
            <w:hideMark/>
          </w:tcPr>
          <w:p w14:paraId="1B594202" w14:textId="77777777" w:rsidR="00CB2DA6" w:rsidRPr="00CB2DA6" w:rsidRDefault="00CB2DA6" w:rsidP="00CB2DA6">
            <w:pPr>
              <w:widowControl/>
              <w:autoSpaceDE/>
              <w:autoSpaceDN/>
              <w:jc w:val="center"/>
              <w:rPr>
                <w:rFonts w:ascii="Arial" w:hAnsi="Arial" w:cs="Arial"/>
                <w:color w:val="000000"/>
                <w:lang w:val="en-US"/>
              </w:rPr>
            </w:pPr>
            <w:r w:rsidRPr="00CB2DA6">
              <w:rPr>
                <w:rFonts w:ascii="Arial" w:hAnsi="Arial" w:cs="Arial"/>
                <w:color w:val="000000"/>
                <w:lang w:val="en-US"/>
              </w:rPr>
              <w:t xml:space="preserve">$101,120 </w:t>
            </w:r>
          </w:p>
        </w:tc>
        <w:tc>
          <w:tcPr>
            <w:tcW w:w="1769" w:type="dxa"/>
            <w:tcBorders>
              <w:top w:val="nil"/>
              <w:left w:val="nil"/>
              <w:bottom w:val="single" w:sz="8" w:space="0" w:color="auto"/>
              <w:right w:val="single" w:sz="8" w:space="0" w:color="auto"/>
            </w:tcBorders>
            <w:shd w:val="clear" w:color="000000" w:fill="DBE5F1"/>
            <w:vAlign w:val="center"/>
            <w:hideMark/>
          </w:tcPr>
          <w:p w14:paraId="4A4600F2" w14:textId="77777777" w:rsidR="00CB2DA6" w:rsidRPr="00CB2DA6" w:rsidRDefault="00CB2DA6" w:rsidP="00CB2DA6">
            <w:pPr>
              <w:widowControl/>
              <w:autoSpaceDE/>
              <w:autoSpaceDN/>
              <w:jc w:val="center"/>
              <w:rPr>
                <w:rFonts w:ascii="Arial" w:hAnsi="Arial" w:cs="Arial"/>
                <w:color w:val="000000"/>
                <w:lang w:val="en-US"/>
              </w:rPr>
            </w:pPr>
            <w:r w:rsidRPr="00CB2DA6">
              <w:rPr>
                <w:rFonts w:ascii="Arial" w:hAnsi="Arial" w:cs="Arial"/>
                <w:color w:val="000000"/>
                <w:lang w:val="en-US"/>
              </w:rPr>
              <w:t xml:space="preserve">$151,680 </w:t>
            </w:r>
          </w:p>
        </w:tc>
        <w:tc>
          <w:tcPr>
            <w:tcW w:w="1769" w:type="dxa"/>
            <w:tcBorders>
              <w:top w:val="nil"/>
              <w:left w:val="nil"/>
              <w:bottom w:val="single" w:sz="8" w:space="0" w:color="auto"/>
              <w:right w:val="single" w:sz="8" w:space="0" w:color="auto"/>
            </w:tcBorders>
            <w:shd w:val="clear" w:color="000000" w:fill="DBE5F1"/>
            <w:vAlign w:val="center"/>
            <w:hideMark/>
          </w:tcPr>
          <w:p w14:paraId="7A9F22EB" w14:textId="77777777" w:rsidR="00CB2DA6" w:rsidRPr="00CB2DA6" w:rsidRDefault="00CB2DA6" w:rsidP="00CB2DA6">
            <w:pPr>
              <w:widowControl/>
              <w:autoSpaceDE/>
              <w:autoSpaceDN/>
              <w:jc w:val="center"/>
              <w:rPr>
                <w:rFonts w:ascii="Arial" w:hAnsi="Arial" w:cs="Arial"/>
                <w:color w:val="000000"/>
                <w:lang w:val="en-US"/>
              </w:rPr>
            </w:pPr>
            <w:r w:rsidRPr="00CB2DA6">
              <w:rPr>
                <w:rFonts w:ascii="Arial" w:hAnsi="Arial" w:cs="Arial"/>
                <w:color w:val="000000"/>
                <w:lang w:val="en-US"/>
              </w:rPr>
              <w:t xml:space="preserve">$176,960 </w:t>
            </w:r>
          </w:p>
        </w:tc>
        <w:tc>
          <w:tcPr>
            <w:tcW w:w="1769" w:type="dxa"/>
            <w:tcBorders>
              <w:top w:val="nil"/>
              <w:left w:val="nil"/>
              <w:bottom w:val="single" w:sz="8" w:space="0" w:color="auto"/>
              <w:right w:val="single" w:sz="8" w:space="0" w:color="auto"/>
            </w:tcBorders>
            <w:shd w:val="clear" w:color="000000" w:fill="DBE5F1"/>
            <w:vAlign w:val="center"/>
            <w:hideMark/>
          </w:tcPr>
          <w:p w14:paraId="460B9DDD" w14:textId="77777777" w:rsidR="00CB2DA6" w:rsidRPr="00CB2DA6" w:rsidRDefault="00CB2DA6" w:rsidP="00CB2DA6">
            <w:pPr>
              <w:widowControl/>
              <w:autoSpaceDE/>
              <w:autoSpaceDN/>
              <w:jc w:val="center"/>
              <w:rPr>
                <w:rFonts w:ascii="Arial" w:hAnsi="Arial" w:cs="Arial"/>
                <w:color w:val="000000"/>
                <w:lang w:val="en-US"/>
              </w:rPr>
            </w:pPr>
            <w:r w:rsidRPr="00CB2DA6">
              <w:rPr>
                <w:rFonts w:ascii="Arial" w:hAnsi="Arial" w:cs="Arial"/>
                <w:color w:val="000000"/>
                <w:lang w:val="en-US"/>
              </w:rPr>
              <w:t xml:space="preserve">$202,240 </w:t>
            </w:r>
          </w:p>
        </w:tc>
        <w:tc>
          <w:tcPr>
            <w:tcW w:w="1771" w:type="dxa"/>
            <w:tcBorders>
              <w:top w:val="nil"/>
              <w:left w:val="nil"/>
              <w:bottom w:val="single" w:sz="8" w:space="0" w:color="auto"/>
              <w:right w:val="single" w:sz="8" w:space="0" w:color="auto"/>
            </w:tcBorders>
            <w:shd w:val="clear" w:color="000000" w:fill="DBE5F1"/>
            <w:vAlign w:val="center"/>
            <w:hideMark/>
          </w:tcPr>
          <w:p w14:paraId="46B3F0F1" w14:textId="77777777" w:rsidR="00CB2DA6" w:rsidRPr="00CB2DA6" w:rsidRDefault="00CB2DA6" w:rsidP="00CB2DA6">
            <w:pPr>
              <w:widowControl/>
              <w:autoSpaceDE/>
              <w:autoSpaceDN/>
              <w:jc w:val="center"/>
              <w:rPr>
                <w:rFonts w:ascii="Arial" w:hAnsi="Arial" w:cs="Arial"/>
                <w:color w:val="000000"/>
                <w:lang w:val="en-US"/>
              </w:rPr>
            </w:pPr>
            <w:r w:rsidRPr="00CB2DA6">
              <w:rPr>
                <w:rFonts w:ascii="Arial" w:hAnsi="Arial" w:cs="Arial"/>
                <w:color w:val="000000"/>
                <w:lang w:val="en-US"/>
              </w:rPr>
              <w:t xml:space="preserve">$202,241 </w:t>
            </w:r>
          </w:p>
        </w:tc>
      </w:tr>
      <w:tr w:rsidR="00CB2DA6" w:rsidRPr="00CB2DA6" w14:paraId="77DE6C44" w14:textId="77777777" w:rsidTr="00CB2DA6">
        <w:trPr>
          <w:trHeight w:val="645"/>
        </w:trPr>
        <w:tc>
          <w:tcPr>
            <w:tcW w:w="1307" w:type="dxa"/>
            <w:tcBorders>
              <w:top w:val="nil"/>
              <w:left w:val="single" w:sz="8" w:space="0" w:color="auto"/>
              <w:bottom w:val="single" w:sz="8" w:space="0" w:color="auto"/>
              <w:right w:val="single" w:sz="8" w:space="0" w:color="auto"/>
            </w:tcBorders>
            <w:shd w:val="clear" w:color="auto" w:fill="auto"/>
            <w:vAlign w:val="center"/>
            <w:hideMark/>
          </w:tcPr>
          <w:p w14:paraId="2974B69E" w14:textId="77777777" w:rsidR="00CB2DA6" w:rsidRPr="00CB2DA6" w:rsidRDefault="00CB2DA6" w:rsidP="00CB2DA6">
            <w:pPr>
              <w:widowControl/>
              <w:autoSpaceDE/>
              <w:autoSpaceDN/>
              <w:jc w:val="center"/>
              <w:rPr>
                <w:rFonts w:ascii="Arial" w:hAnsi="Arial" w:cs="Arial"/>
                <w:color w:val="000000"/>
                <w:sz w:val="15"/>
                <w:szCs w:val="15"/>
                <w:lang w:val="en-US"/>
              </w:rPr>
            </w:pPr>
            <w:r w:rsidRPr="00CB2DA6">
              <w:rPr>
                <w:rFonts w:ascii="Arial" w:hAnsi="Arial" w:cs="Arial"/>
                <w:color w:val="000000"/>
                <w:sz w:val="15"/>
                <w:szCs w:val="15"/>
                <w:lang w:val="en-US"/>
              </w:rPr>
              <w:t>Por cada persona adicional, agregar</w:t>
            </w:r>
          </w:p>
        </w:tc>
        <w:tc>
          <w:tcPr>
            <w:tcW w:w="1770" w:type="dxa"/>
            <w:tcBorders>
              <w:top w:val="nil"/>
              <w:left w:val="nil"/>
              <w:bottom w:val="single" w:sz="8" w:space="0" w:color="auto"/>
              <w:right w:val="single" w:sz="8" w:space="0" w:color="auto"/>
            </w:tcBorders>
            <w:shd w:val="clear" w:color="auto" w:fill="auto"/>
            <w:vAlign w:val="center"/>
            <w:hideMark/>
          </w:tcPr>
          <w:p w14:paraId="7D8E956D" w14:textId="77777777" w:rsidR="00CB2DA6" w:rsidRPr="00CB2DA6" w:rsidRDefault="00CB2DA6" w:rsidP="00CB2DA6">
            <w:pPr>
              <w:widowControl/>
              <w:autoSpaceDE/>
              <w:autoSpaceDN/>
              <w:jc w:val="center"/>
              <w:rPr>
                <w:rFonts w:ascii="Arial" w:hAnsi="Arial" w:cs="Arial"/>
                <w:color w:val="000000"/>
                <w:lang w:val="en-US"/>
              </w:rPr>
            </w:pPr>
            <w:r w:rsidRPr="00CB2DA6">
              <w:rPr>
                <w:rFonts w:ascii="Arial" w:hAnsi="Arial" w:cs="Arial"/>
                <w:color w:val="000000"/>
                <w:lang w:val="en-US"/>
              </w:rPr>
              <w:t xml:space="preserve">$10,280 </w:t>
            </w:r>
          </w:p>
        </w:tc>
        <w:tc>
          <w:tcPr>
            <w:tcW w:w="1769" w:type="dxa"/>
            <w:tcBorders>
              <w:top w:val="nil"/>
              <w:left w:val="nil"/>
              <w:bottom w:val="single" w:sz="8" w:space="0" w:color="auto"/>
              <w:right w:val="single" w:sz="8" w:space="0" w:color="auto"/>
            </w:tcBorders>
            <w:shd w:val="clear" w:color="auto" w:fill="auto"/>
            <w:vAlign w:val="center"/>
            <w:hideMark/>
          </w:tcPr>
          <w:p w14:paraId="62077081" w14:textId="77777777" w:rsidR="00CB2DA6" w:rsidRPr="00CB2DA6" w:rsidRDefault="00CB2DA6" w:rsidP="00CB2DA6">
            <w:pPr>
              <w:widowControl/>
              <w:autoSpaceDE/>
              <w:autoSpaceDN/>
              <w:jc w:val="center"/>
              <w:rPr>
                <w:rFonts w:ascii="Arial" w:hAnsi="Arial" w:cs="Arial"/>
                <w:color w:val="000000"/>
                <w:lang w:val="en-US"/>
              </w:rPr>
            </w:pPr>
            <w:r w:rsidRPr="00CB2DA6">
              <w:rPr>
                <w:rFonts w:ascii="Arial" w:hAnsi="Arial" w:cs="Arial"/>
                <w:color w:val="000000"/>
                <w:lang w:val="en-US"/>
              </w:rPr>
              <w:t xml:space="preserve">$15,420 </w:t>
            </w:r>
          </w:p>
        </w:tc>
        <w:tc>
          <w:tcPr>
            <w:tcW w:w="1769" w:type="dxa"/>
            <w:tcBorders>
              <w:top w:val="nil"/>
              <w:left w:val="nil"/>
              <w:bottom w:val="single" w:sz="8" w:space="0" w:color="auto"/>
              <w:right w:val="single" w:sz="8" w:space="0" w:color="auto"/>
            </w:tcBorders>
            <w:shd w:val="clear" w:color="auto" w:fill="auto"/>
            <w:vAlign w:val="center"/>
            <w:hideMark/>
          </w:tcPr>
          <w:p w14:paraId="5273F315" w14:textId="77777777" w:rsidR="00CB2DA6" w:rsidRPr="00CB2DA6" w:rsidRDefault="00CB2DA6" w:rsidP="00CB2DA6">
            <w:pPr>
              <w:widowControl/>
              <w:autoSpaceDE/>
              <w:autoSpaceDN/>
              <w:jc w:val="center"/>
              <w:rPr>
                <w:rFonts w:ascii="Arial" w:hAnsi="Arial" w:cs="Arial"/>
                <w:color w:val="000000"/>
                <w:lang w:val="en-US"/>
              </w:rPr>
            </w:pPr>
            <w:r w:rsidRPr="00CB2DA6">
              <w:rPr>
                <w:rFonts w:ascii="Arial" w:hAnsi="Arial" w:cs="Arial"/>
                <w:color w:val="000000"/>
                <w:lang w:val="en-US"/>
              </w:rPr>
              <w:t xml:space="preserve">$17,990 </w:t>
            </w:r>
          </w:p>
        </w:tc>
        <w:tc>
          <w:tcPr>
            <w:tcW w:w="1769" w:type="dxa"/>
            <w:tcBorders>
              <w:top w:val="nil"/>
              <w:left w:val="nil"/>
              <w:bottom w:val="single" w:sz="8" w:space="0" w:color="auto"/>
              <w:right w:val="single" w:sz="8" w:space="0" w:color="auto"/>
            </w:tcBorders>
            <w:shd w:val="clear" w:color="auto" w:fill="auto"/>
            <w:vAlign w:val="center"/>
            <w:hideMark/>
          </w:tcPr>
          <w:p w14:paraId="45414DE3" w14:textId="77777777" w:rsidR="00CB2DA6" w:rsidRPr="00CB2DA6" w:rsidRDefault="00CB2DA6" w:rsidP="00CB2DA6">
            <w:pPr>
              <w:widowControl/>
              <w:autoSpaceDE/>
              <w:autoSpaceDN/>
              <w:jc w:val="center"/>
              <w:rPr>
                <w:rFonts w:ascii="Arial" w:hAnsi="Arial" w:cs="Arial"/>
                <w:color w:val="000000"/>
                <w:lang w:val="en-US"/>
              </w:rPr>
            </w:pPr>
            <w:r w:rsidRPr="00CB2DA6">
              <w:rPr>
                <w:rFonts w:ascii="Arial" w:hAnsi="Arial" w:cs="Arial"/>
                <w:color w:val="000000"/>
                <w:lang w:val="en-US"/>
              </w:rPr>
              <w:t xml:space="preserve">$20,560 </w:t>
            </w:r>
          </w:p>
        </w:tc>
        <w:tc>
          <w:tcPr>
            <w:tcW w:w="1771" w:type="dxa"/>
            <w:tcBorders>
              <w:top w:val="nil"/>
              <w:left w:val="nil"/>
              <w:bottom w:val="single" w:sz="8" w:space="0" w:color="auto"/>
              <w:right w:val="single" w:sz="8" w:space="0" w:color="auto"/>
            </w:tcBorders>
            <w:shd w:val="clear" w:color="auto" w:fill="auto"/>
            <w:vAlign w:val="center"/>
            <w:hideMark/>
          </w:tcPr>
          <w:p w14:paraId="7555CE76" w14:textId="77777777" w:rsidR="00CB2DA6" w:rsidRPr="00CB2DA6" w:rsidRDefault="00CB2DA6" w:rsidP="00CB2DA6">
            <w:pPr>
              <w:widowControl/>
              <w:autoSpaceDE/>
              <w:autoSpaceDN/>
              <w:jc w:val="center"/>
              <w:rPr>
                <w:rFonts w:ascii="Arial" w:hAnsi="Arial" w:cs="Arial"/>
                <w:color w:val="000000"/>
                <w:lang w:val="en-US"/>
              </w:rPr>
            </w:pPr>
            <w:r w:rsidRPr="00CB2DA6">
              <w:rPr>
                <w:rFonts w:ascii="Arial" w:hAnsi="Arial" w:cs="Arial"/>
                <w:color w:val="000000"/>
                <w:lang w:val="en-US"/>
              </w:rPr>
              <w:t xml:space="preserve">$20,561 </w:t>
            </w:r>
          </w:p>
        </w:tc>
      </w:tr>
      <w:tr w:rsidR="00CB2DA6" w:rsidRPr="00CB2DA6" w14:paraId="0063533F" w14:textId="77777777" w:rsidTr="00CB2DA6">
        <w:trPr>
          <w:trHeight w:val="645"/>
        </w:trPr>
        <w:tc>
          <w:tcPr>
            <w:tcW w:w="1307" w:type="dxa"/>
            <w:tcBorders>
              <w:top w:val="nil"/>
              <w:left w:val="single" w:sz="8" w:space="0" w:color="auto"/>
              <w:bottom w:val="single" w:sz="8" w:space="0" w:color="auto"/>
              <w:right w:val="single" w:sz="8" w:space="0" w:color="auto"/>
            </w:tcBorders>
            <w:shd w:val="clear" w:color="auto" w:fill="auto"/>
            <w:vAlign w:val="center"/>
            <w:hideMark/>
          </w:tcPr>
          <w:p w14:paraId="2AEC6005" w14:textId="77777777" w:rsidR="00CB2DA6" w:rsidRPr="00CB2DA6" w:rsidRDefault="00CB2DA6" w:rsidP="00CB2DA6">
            <w:pPr>
              <w:widowControl/>
              <w:autoSpaceDE/>
              <w:autoSpaceDN/>
              <w:jc w:val="center"/>
              <w:rPr>
                <w:rFonts w:ascii="Arial" w:hAnsi="Arial" w:cs="Arial"/>
                <w:color w:val="000000"/>
                <w:sz w:val="15"/>
                <w:szCs w:val="15"/>
                <w:lang w:val="en-US"/>
              </w:rPr>
            </w:pPr>
            <w:r w:rsidRPr="00CB2DA6">
              <w:rPr>
                <w:rFonts w:ascii="Arial" w:hAnsi="Arial" w:cs="Arial"/>
                <w:color w:val="000000"/>
                <w:sz w:val="15"/>
                <w:szCs w:val="15"/>
                <w:lang w:val="en-US"/>
              </w:rPr>
              <w:t>FPL</w:t>
            </w:r>
          </w:p>
        </w:tc>
        <w:tc>
          <w:tcPr>
            <w:tcW w:w="1770" w:type="dxa"/>
            <w:tcBorders>
              <w:top w:val="nil"/>
              <w:left w:val="nil"/>
              <w:bottom w:val="single" w:sz="8" w:space="0" w:color="auto"/>
              <w:right w:val="single" w:sz="8" w:space="0" w:color="auto"/>
            </w:tcBorders>
            <w:shd w:val="clear" w:color="auto" w:fill="auto"/>
            <w:vAlign w:val="center"/>
            <w:hideMark/>
          </w:tcPr>
          <w:p w14:paraId="492C6846" w14:textId="77777777" w:rsidR="00CB2DA6" w:rsidRPr="00CB2DA6" w:rsidRDefault="00CB2DA6" w:rsidP="00CB2DA6">
            <w:pPr>
              <w:widowControl/>
              <w:autoSpaceDE/>
              <w:autoSpaceDN/>
              <w:jc w:val="center"/>
              <w:rPr>
                <w:rFonts w:ascii="Arial" w:hAnsi="Arial" w:cs="Arial"/>
                <w:color w:val="000000"/>
                <w:sz w:val="21"/>
                <w:szCs w:val="21"/>
                <w:lang w:val="en-US"/>
              </w:rPr>
            </w:pPr>
            <w:r w:rsidRPr="00CB2DA6">
              <w:rPr>
                <w:rFonts w:ascii="Arial" w:hAnsi="Arial" w:cs="Arial"/>
                <w:color w:val="000000"/>
                <w:sz w:val="21"/>
                <w:szCs w:val="21"/>
                <w:lang w:val="en-US"/>
              </w:rPr>
              <w:t>200% e inferior</w:t>
            </w:r>
          </w:p>
        </w:tc>
        <w:tc>
          <w:tcPr>
            <w:tcW w:w="1769" w:type="dxa"/>
            <w:tcBorders>
              <w:top w:val="nil"/>
              <w:left w:val="nil"/>
              <w:bottom w:val="single" w:sz="8" w:space="0" w:color="auto"/>
              <w:right w:val="single" w:sz="8" w:space="0" w:color="auto"/>
            </w:tcBorders>
            <w:shd w:val="clear" w:color="auto" w:fill="auto"/>
            <w:vAlign w:val="center"/>
            <w:hideMark/>
          </w:tcPr>
          <w:p w14:paraId="47A911B5" w14:textId="77777777" w:rsidR="00CB2DA6" w:rsidRPr="00CB2DA6" w:rsidRDefault="00CB2DA6" w:rsidP="00CB2DA6">
            <w:pPr>
              <w:widowControl/>
              <w:autoSpaceDE/>
              <w:autoSpaceDN/>
              <w:jc w:val="center"/>
              <w:rPr>
                <w:rFonts w:ascii="Arial" w:hAnsi="Arial" w:cs="Arial"/>
                <w:color w:val="000000"/>
                <w:sz w:val="21"/>
                <w:szCs w:val="21"/>
                <w:lang w:val="en-US"/>
              </w:rPr>
            </w:pPr>
            <w:r w:rsidRPr="00CB2DA6">
              <w:rPr>
                <w:rFonts w:ascii="Arial" w:hAnsi="Arial" w:cs="Arial"/>
                <w:color w:val="000000"/>
                <w:sz w:val="21"/>
                <w:szCs w:val="21"/>
                <w:lang w:val="en-US"/>
              </w:rPr>
              <w:t>201-300%</w:t>
            </w:r>
          </w:p>
        </w:tc>
        <w:tc>
          <w:tcPr>
            <w:tcW w:w="1769" w:type="dxa"/>
            <w:tcBorders>
              <w:top w:val="nil"/>
              <w:left w:val="nil"/>
              <w:bottom w:val="single" w:sz="8" w:space="0" w:color="auto"/>
              <w:right w:val="single" w:sz="8" w:space="0" w:color="auto"/>
            </w:tcBorders>
            <w:shd w:val="clear" w:color="auto" w:fill="auto"/>
            <w:vAlign w:val="center"/>
            <w:hideMark/>
          </w:tcPr>
          <w:p w14:paraId="3C192326" w14:textId="77777777" w:rsidR="00CB2DA6" w:rsidRPr="00CB2DA6" w:rsidRDefault="00CB2DA6" w:rsidP="00CB2DA6">
            <w:pPr>
              <w:widowControl/>
              <w:autoSpaceDE/>
              <w:autoSpaceDN/>
              <w:jc w:val="center"/>
              <w:rPr>
                <w:rFonts w:ascii="Arial" w:hAnsi="Arial" w:cs="Arial"/>
                <w:color w:val="000000"/>
                <w:sz w:val="21"/>
                <w:szCs w:val="21"/>
                <w:lang w:val="en-US"/>
              </w:rPr>
            </w:pPr>
            <w:r w:rsidRPr="00CB2DA6">
              <w:rPr>
                <w:rFonts w:ascii="Arial" w:hAnsi="Arial" w:cs="Arial"/>
                <w:color w:val="000000"/>
                <w:sz w:val="21"/>
                <w:szCs w:val="21"/>
                <w:lang w:val="en-US"/>
              </w:rPr>
              <w:t>301-350%</w:t>
            </w:r>
          </w:p>
        </w:tc>
        <w:tc>
          <w:tcPr>
            <w:tcW w:w="1769" w:type="dxa"/>
            <w:tcBorders>
              <w:top w:val="nil"/>
              <w:left w:val="nil"/>
              <w:bottom w:val="single" w:sz="8" w:space="0" w:color="auto"/>
              <w:right w:val="single" w:sz="8" w:space="0" w:color="auto"/>
            </w:tcBorders>
            <w:shd w:val="clear" w:color="auto" w:fill="auto"/>
            <w:vAlign w:val="center"/>
            <w:hideMark/>
          </w:tcPr>
          <w:p w14:paraId="2B662CD7" w14:textId="77777777" w:rsidR="00CB2DA6" w:rsidRPr="00CB2DA6" w:rsidRDefault="00CB2DA6" w:rsidP="00CB2DA6">
            <w:pPr>
              <w:widowControl/>
              <w:autoSpaceDE/>
              <w:autoSpaceDN/>
              <w:jc w:val="center"/>
              <w:rPr>
                <w:rFonts w:ascii="Arial" w:hAnsi="Arial" w:cs="Arial"/>
                <w:color w:val="000000"/>
                <w:sz w:val="21"/>
                <w:szCs w:val="21"/>
                <w:lang w:val="en-US"/>
              </w:rPr>
            </w:pPr>
            <w:r w:rsidRPr="00CB2DA6">
              <w:rPr>
                <w:rFonts w:ascii="Arial" w:hAnsi="Arial" w:cs="Arial"/>
                <w:color w:val="000000"/>
                <w:sz w:val="21"/>
                <w:szCs w:val="21"/>
                <w:lang w:val="en-US"/>
              </w:rPr>
              <w:t>351-400%</w:t>
            </w:r>
          </w:p>
        </w:tc>
        <w:tc>
          <w:tcPr>
            <w:tcW w:w="1771" w:type="dxa"/>
            <w:tcBorders>
              <w:top w:val="nil"/>
              <w:left w:val="nil"/>
              <w:bottom w:val="single" w:sz="8" w:space="0" w:color="auto"/>
              <w:right w:val="single" w:sz="8" w:space="0" w:color="auto"/>
            </w:tcBorders>
            <w:shd w:val="clear" w:color="auto" w:fill="auto"/>
            <w:vAlign w:val="center"/>
            <w:hideMark/>
          </w:tcPr>
          <w:p w14:paraId="09D30B40" w14:textId="77777777" w:rsidR="00CB2DA6" w:rsidRPr="00CB2DA6" w:rsidRDefault="00CB2DA6" w:rsidP="00CB2DA6">
            <w:pPr>
              <w:widowControl/>
              <w:autoSpaceDE/>
              <w:autoSpaceDN/>
              <w:jc w:val="center"/>
              <w:rPr>
                <w:rFonts w:ascii="Arial" w:hAnsi="Arial" w:cs="Arial"/>
                <w:color w:val="000000"/>
                <w:sz w:val="21"/>
                <w:szCs w:val="21"/>
                <w:lang w:val="en-US"/>
              </w:rPr>
            </w:pPr>
            <w:r w:rsidRPr="00CB2DA6">
              <w:rPr>
                <w:rFonts w:ascii="Arial" w:hAnsi="Arial" w:cs="Arial"/>
                <w:color w:val="000000"/>
                <w:sz w:val="21"/>
                <w:szCs w:val="21"/>
                <w:lang w:val="en-US"/>
              </w:rPr>
              <w:t>400% y mayor</w:t>
            </w:r>
          </w:p>
        </w:tc>
      </w:tr>
    </w:tbl>
    <w:p w14:paraId="7D7D45D0" w14:textId="77777777" w:rsidR="00CB2DA6" w:rsidRDefault="00CB2DA6" w:rsidP="007A019F">
      <w:pPr>
        <w:pStyle w:val="Heading2"/>
        <w:spacing w:line="274" w:lineRule="exact"/>
        <w:ind w:firstLine="0"/>
        <w:jc w:val="center"/>
        <w:rPr>
          <w:sz w:val="23"/>
          <w:szCs w:val="23"/>
          <w:u w:val="thick"/>
        </w:rPr>
      </w:pPr>
    </w:p>
    <w:tbl>
      <w:tblPr>
        <w:tblW w:w="10460" w:type="dxa"/>
        <w:tblLook w:val="04A0" w:firstRow="1" w:lastRow="0" w:firstColumn="1" w:lastColumn="0" w:noHBand="0" w:noVBand="1"/>
      </w:tblPr>
      <w:tblGrid>
        <w:gridCol w:w="1744"/>
        <w:gridCol w:w="1744"/>
        <w:gridCol w:w="1743"/>
        <w:gridCol w:w="1743"/>
        <w:gridCol w:w="1743"/>
        <w:gridCol w:w="1743"/>
      </w:tblGrid>
      <w:tr w:rsidR="00CB2DA6" w:rsidRPr="00CB2DA6" w14:paraId="08E0D460" w14:textId="77777777" w:rsidTr="00CB2DA6">
        <w:trPr>
          <w:trHeight w:val="1200"/>
        </w:trPr>
        <w:tc>
          <w:tcPr>
            <w:tcW w:w="10460" w:type="dxa"/>
            <w:gridSpan w:val="6"/>
            <w:tcBorders>
              <w:top w:val="nil"/>
              <w:left w:val="nil"/>
              <w:bottom w:val="nil"/>
              <w:right w:val="nil"/>
            </w:tcBorders>
            <w:shd w:val="clear" w:color="auto" w:fill="auto"/>
            <w:vAlign w:val="center"/>
            <w:hideMark/>
          </w:tcPr>
          <w:p w14:paraId="49EC4A07" w14:textId="77777777" w:rsidR="00CB2DA6" w:rsidRPr="00CB2DA6" w:rsidRDefault="00CB2DA6" w:rsidP="00CB2DA6">
            <w:pPr>
              <w:widowControl/>
              <w:autoSpaceDE/>
              <w:autoSpaceDN/>
              <w:rPr>
                <w:rFonts w:ascii="Arial" w:hAnsi="Arial" w:cs="Arial"/>
                <w:b/>
                <w:bCs/>
                <w:color w:val="000000"/>
                <w:sz w:val="24"/>
                <w:szCs w:val="24"/>
                <w:lang w:val="en-US"/>
              </w:rPr>
            </w:pPr>
            <w:r w:rsidRPr="00CB2DA6">
              <w:rPr>
                <w:rFonts w:ascii="Arial" w:hAnsi="Arial" w:cs="Arial"/>
                <w:b/>
                <w:bCs/>
                <w:color w:val="000000"/>
                <w:sz w:val="24"/>
                <w:szCs w:val="24"/>
                <w:lang w:val="en-US"/>
              </w:rPr>
              <w:t>Example:  If you have 4 members in your family with a total income of $90,000, you will be required to pay 25% of the total bill and MCHD will discount the total bill by 75%.</w:t>
            </w:r>
          </w:p>
        </w:tc>
      </w:tr>
      <w:tr w:rsidR="00CB2DA6" w:rsidRPr="00CB2DA6" w14:paraId="19626A54" w14:textId="77777777" w:rsidTr="00CB2DA6">
        <w:trPr>
          <w:trHeight w:val="315"/>
        </w:trPr>
        <w:tc>
          <w:tcPr>
            <w:tcW w:w="10460" w:type="dxa"/>
            <w:gridSpan w:val="6"/>
            <w:tcBorders>
              <w:top w:val="nil"/>
              <w:left w:val="nil"/>
              <w:bottom w:val="nil"/>
              <w:right w:val="nil"/>
            </w:tcBorders>
            <w:shd w:val="clear" w:color="auto" w:fill="auto"/>
            <w:vAlign w:val="center"/>
            <w:hideMark/>
          </w:tcPr>
          <w:p w14:paraId="34401495" w14:textId="77777777" w:rsidR="00CB2DA6" w:rsidRPr="00CB2DA6" w:rsidRDefault="00CB2DA6" w:rsidP="00CB2DA6">
            <w:pPr>
              <w:widowControl/>
              <w:autoSpaceDE/>
              <w:autoSpaceDN/>
              <w:rPr>
                <w:i/>
                <w:iCs/>
                <w:color w:val="000000"/>
                <w:sz w:val="24"/>
                <w:szCs w:val="24"/>
                <w:lang w:val="en-US"/>
              </w:rPr>
            </w:pPr>
            <w:r w:rsidRPr="00CB2DA6">
              <w:rPr>
                <w:i/>
                <w:iCs/>
                <w:color w:val="000000"/>
                <w:sz w:val="24"/>
                <w:szCs w:val="24"/>
                <w:lang w:val="en-US"/>
              </w:rPr>
              <w:t xml:space="preserve">See </w:t>
            </w:r>
            <w:r w:rsidRPr="00CB2DA6">
              <w:rPr>
                <w:b/>
                <w:bCs/>
                <w:i/>
                <w:iCs/>
                <w:color w:val="000000"/>
                <w:sz w:val="24"/>
                <w:szCs w:val="24"/>
                <w:lang w:val="en-US"/>
              </w:rPr>
              <w:t xml:space="preserve">Definition: Family Income </w:t>
            </w:r>
            <w:r w:rsidRPr="00CB2DA6">
              <w:rPr>
                <w:i/>
                <w:iCs/>
                <w:color w:val="000000"/>
                <w:sz w:val="24"/>
                <w:szCs w:val="24"/>
                <w:lang w:val="en-US"/>
              </w:rPr>
              <w:t>of the Financial Assistance Policy document to determine how to calculate your household size and annual family income.</w:t>
            </w:r>
          </w:p>
        </w:tc>
      </w:tr>
      <w:tr w:rsidR="00CB2DA6" w:rsidRPr="00CB2DA6" w14:paraId="7F1DD3BD" w14:textId="77777777" w:rsidTr="00CB2DA6">
        <w:trPr>
          <w:trHeight w:val="315"/>
        </w:trPr>
        <w:tc>
          <w:tcPr>
            <w:tcW w:w="1744" w:type="dxa"/>
            <w:tcBorders>
              <w:top w:val="nil"/>
              <w:left w:val="nil"/>
              <w:bottom w:val="nil"/>
              <w:right w:val="nil"/>
            </w:tcBorders>
            <w:shd w:val="clear" w:color="auto" w:fill="auto"/>
            <w:noWrap/>
            <w:vAlign w:val="center"/>
            <w:hideMark/>
          </w:tcPr>
          <w:p w14:paraId="6F95D5F4" w14:textId="77777777" w:rsidR="00CB2DA6" w:rsidRPr="00CB2DA6" w:rsidRDefault="00CB2DA6" w:rsidP="00CB2DA6">
            <w:pPr>
              <w:widowControl/>
              <w:autoSpaceDE/>
              <w:autoSpaceDN/>
              <w:rPr>
                <w:i/>
                <w:iCs/>
                <w:color w:val="000000"/>
                <w:sz w:val="24"/>
                <w:szCs w:val="24"/>
                <w:lang w:val="en-US"/>
              </w:rPr>
            </w:pPr>
          </w:p>
        </w:tc>
        <w:tc>
          <w:tcPr>
            <w:tcW w:w="1744" w:type="dxa"/>
            <w:tcBorders>
              <w:top w:val="nil"/>
              <w:left w:val="nil"/>
              <w:bottom w:val="nil"/>
              <w:right w:val="nil"/>
            </w:tcBorders>
            <w:shd w:val="clear" w:color="auto" w:fill="auto"/>
            <w:noWrap/>
            <w:vAlign w:val="bottom"/>
            <w:hideMark/>
          </w:tcPr>
          <w:p w14:paraId="623DEFBE" w14:textId="77777777" w:rsidR="00CB2DA6" w:rsidRPr="00CB2DA6" w:rsidRDefault="00CB2DA6" w:rsidP="00CB2DA6">
            <w:pPr>
              <w:widowControl/>
              <w:autoSpaceDE/>
              <w:autoSpaceDN/>
              <w:rPr>
                <w:sz w:val="20"/>
                <w:szCs w:val="20"/>
                <w:lang w:val="en-US"/>
              </w:rPr>
            </w:pPr>
          </w:p>
        </w:tc>
        <w:tc>
          <w:tcPr>
            <w:tcW w:w="1743" w:type="dxa"/>
            <w:tcBorders>
              <w:top w:val="nil"/>
              <w:left w:val="nil"/>
              <w:bottom w:val="nil"/>
              <w:right w:val="nil"/>
            </w:tcBorders>
            <w:shd w:val="clear" w:color="auto" w:fill="auto"/>
            <w:noWrap/>
            <w:vAlign w:val="bottom"/>
            <w:hideMark/>
          </w:tcPr>
          <w:p w14:paraId="7D2340D5" w14:textId="77777777" w:rsidR="00CB2DA6" w:rsidRPr="00CB2DA6" w:rsidRDefault="00CB2DA6" w:rsidP="00CB2DA6">
            <w:pPr>
              <w:widowControl/>
              <w:autoSpaceDE/>
              <w:autoSpaceDN/>
              <w:rPr>
                <w:sz w:val="20"/>
                <w:szCs w:val="20"/>
                <w:lang w:val="en-US"/>
              </w:rPr>
            </w:pPr>
          </w:p>
        </w:tc>
        <w:tc>
          <w:tcPr>
            <w:tcW w:w="1743" w:type="dxa"/>
            <w:tcBorders>
              <w:top w:val="nil"/>
              <w:left w:val="nil"/>
              <w:bottom w:val="nil"/>
              <w:right w:val="nil"/>
            </w:tcBorders>
            <w:shd w:val="clear" w:color="auto" w:fill="auto"/>
            <w:noWrap/>
            <w:vAlign w:val="bottom"/>
            <w:hideMark/>
          </w:tcPr>
          <w:p w14:paraId="4C7B3266" w14:textId="77777777" w:rsidR="00CB2DA6" w:rsidRPr="00CB2DA6" w:rsidRDefault="00CB2DA6" w:rsidP="00CB2DA6">
            <w:pPr>
              <w:widowControl/>
              <w:autoSpaceDE/>
              <w:autoSpaceDN/>
              <w:rPr>
                <w:sz w:val="20"/>
                <w:szCs w:val="20"/>
                <w:lang w:val="en-US"/>
              </w:rPr>
            </w:pPr>
          </w:p>
        </w:tc>
        <w:tc>
          <w:tcPr>
            <w:tcW w:w="1743" w:type="dxa"/>
            <w:tcBorders>
              <w:top w:val="nil"/>
              <w:left w:val="nil"/>
              <w:bottom w:val="nil"/>
              <w:right w:val="nil"/>
            </w:tcBorders>
            <w:shd w:val="clear" w:color="auto" w:fill="auto"/>
            <w:noWrap/>
            <w:vAlign w:val="bottom"/>
            <w:hideMark/>
          </w:tcPr>
          <w:p w14:paraId="2D49592F" w14:textId="77777777" w:rsidR="00CB2DA6" w:rsidRPr="00CB2DA6" w:rsidRDefault="00CB2DA6" w:rsidP="00CB2DA6">
            <w:pPr>
              <w:widowControl/>
              <w:autoSpaceDE/>
              <w:autoSpaceDN/>
              <w:rPr>
                <w:sz w:val="20"/>
                <w:szCs w:val="20"/>
                <w:lang w:val="en-US"/>
              </w:rPr>
            </w:pPr>
          </w:p>
        </w:tc>
        <w:tc>
          <w:tcPr>
            <w:tcW w:w="1743" w:type="dxa"/>
            <w:tcBorders>
              <w:top w:val="nil"/>
              <w:left w:val="nil"/>
              <w:bottom w:val="nil"/>
              <w:right w:val="nil"/>
            </w:tcBorders>
            <w:shd w:val="clear" w:color="auto" w:fill="auto"/>
            <w:noWrap/>
            <w:vAlign w:val="bottom"/>
            <w:hideMark/>
          </w:tcPr>
          <w:p w14:paraId="71EF29A7" w14:textId="77777777" w:rsidR="00CB2DA6" w:rsidRPr="00CB2DA6" w:rsidRDefault="00CB2DA6" w:rsidP="00CB2DA6">
            <w:pPr>
              <w:widowControl/>
              <w:autoSpaceDE/>
              <w:autoSpaceDN/>
              <w:rPr>
                <w:sz w:val="20"/>
                <w:szCs w:val="20"/>
                <w:lang w:val="en-US"/>
              </w:rPr>
            </w:pPr>
          </w:p>
        </w:tc>
      </w:tr>
      <w:tr w:rsidR="00CB2DA6" w:rsidRPr="00CB2DA6" w14:paraId="232CA991" w14:textId="77777777" w:rsidTr="00CB2DA6">
        <w:trPr>
          <w:trHeight w:val="300"/>
        </w:trPr>
        <w:tc>
          <w:tcPr>
            <w:tcW w:w="3488" w:type="dxa"/>
            <w:gridSpan w:val="2"/>
            <w:tcBorders>
              <w:top w:val="nil"/>
              <w:left w:val="nil"/>
              <w:bottom w:val="nil"/>
              <w:right w:val="nil"/>
            </w:tcBorders>
            <w:shd w:val="clear" w:color="auto" w:fill="auto"/>
            <w:noWrap/>
            <w:vAlign w:val="center"/>
            <w:hideMark/>
          </w:tcPr>
          <w:p w14:paraId="36510567" w14:textId="77777777" w:rsidR="00CB2DA6" w:rsidRPr="00CB2DA6" w:rsidRDefault="00CB2DA6" w:rsidP="00CB2DA6">
            <w:pPr>
              <w:widowControl/>
              <w:autoSpaceDE/>
              <w:autoSpaceDN/>
              <w:rPr>
                <w:color w:val="000000"/>
                <w:lang w:val="en-US"/>
              </w:rPr>
            </w:pPr>
            <w:r w:rsidRPr="00CB2DA6">
              <w:rPr>
                <w:color w:val="000000"/>
                <w:lang w:val="en-US"/>
              </w:rPr>
              <w:t xml:space="preserve">   Source: Federal Register</w:t>
            </w:r>
          </w:p>
        </w:tc>
        <w:tc>
          <w:tcPr>
            <w:tcW w:w="1743" w:type="dxa"/>
            <w:tcBorders>
              <w:top w:val="nil"/>
              <w:left w:val="nil"/>
              <w:bottom w:val="nil"/>
              <w:right w:val="nil"/>
            </w:tcBorders>
            <w:shd w:val="clear" w:color="auto" w:fill="auto"/>
            <w:noWrap/>
            <w:vAlign w:val="bottom"/>
            <w:hideMark/>
          </w:tcPr>
          <w:p w14:paraId="5D49111D" w14:textId="77777777" w:rsidR="00CB2DA6" w:rsidRPr="00CB2DA6" w:rsidRDefault="00CB2DA6" w:rsidP="00CB2DA6">
            <w:pPr>
              <w:widowControl/>
              <w:autoSpaceDE/>
              <w:autoSpaceDN/>
              <w:rPr>
                <w:color w:val="000000"/>
                <w:lang w:val="en-US"/>
              </w:rPr>
            </w:pPr>
          </w:p>
        </w:tc>
        <w:tc>
          <w:tcPr>
            <w:tcW w:w="1743" w:type="dxa"/>
            <w:tcBorders>
              <w:top w:val="nil"/>
              <w:left w:val="nil"/>
              <w:bottom w:val="nil"/>
              <w:right w:val="nil"/>
            </w:tcBorders>
            <w:shd w:val="clear" w:color="auto" w:fill="auto"/>
            <w:noWrap/>
            <w:vAlign w:val="bottom"/>
            <w:hideMark/>
          </w:tcPr>
          <w:p w14:paraId="5722776D" w14:textId="77777777" w:rsidR="00CB2DA6" w:rsidRPr="00CB2DA6" w:rsidRDefault="00CB2DA6" w:rsidP="00CB2DA6">
            <w:pPr>
              <w:widowControl/>
              <w:autoSpaceDE/>
              <w:autoSpaceDN/>
              <w:rPr>
                <w:sz w:val="20"/>
                <w:szCs w:val="20"/>
                <w:lang w:val="en-US"/>
              </w:rPr>
            </w:pPr>
          </w:p>
        </w:tc>
        <w:tc>
          <w:tcPr>
            <w:tcW w:w="1743" w:type="dxa"/>
            <w:tcBorders>
              <w:top w:val="nil"/>
              <w:left w:val="nil"/>
              <w:bottom w:val="nil"/>
              <w:right w:val="nil"/>
            </w:tcBorders>
            <w:shd w:val="clear" w:color="auto" w:fill="auto"/>
            <w:noWrap/>
            <w:vAlign w:val="bottom"/>
            <w:hideMark/>
          </w:tcPr>
          <w:p w14:paraId="604C6E08" w14:textId="77777777" w:rsidR="00CB2DA6" w:rsidRPr="00CB2DA6" w:rsidRDefault="00CB2DA6" w:rsidP="00CB2DA6">
            <w:pPr>
              <w:widowControl/>
              <w:autoSpaceDE/>
              <w:autoSpaceDN/>
              <w:rPr>
                <w:sz w:val="20"/>
                <w:szCs w:val="20"/>
                <w:lang w:val="en-US"/>
              </w:rPr>
            </w:pPr>
          </w:p>
        </w:tc>
        <w:tc>
          <w:tcPr>
            <w:tcW w:w="1743" w:type="dxa"/>
            <w:tcBorders>
              <w:top w:val="nil"/>
              <w:left w:val="nil"/>
              <w:bottom w:val="nil"/>
              <w:right w:val="nil"/>
            </w:tcBorders>
            <w:shd w:val="clear" w:color="auto" w:fill="auto"/>
            <w:noWrap/>
            <w:vAlign w:val="bottom"/>
            <w:hideMark/>
          </w:tcPr>
          <w:p w14:paraId="6F261626" w14:textId="77777777" w:rsidR="00CB2DA6" w:rsidRPr="00CB2DA6" w:rsidRDefault="00CB2DA6" w:rsidP="00CB2DA6">
            <w:pPr>
              <w:widowControl/>
              <w:autoSpaceDE/>
              <w:autoSpaceDN/>
              <w:rPr>
                <w:sz w:val="20"/>
                <w:szCs w:val="20"/>
                <w:lang w:val="en-US"/>
              </w:rPr>
            </w:pPr>
          </w:p>
        </w:tc>
      </w:tr>
      <w:tr w:rsidR="00CB2DA6" w:rsidRPr="00CB2DA6" w14:paraId="169EBC6D" w14:textId="77777777" w:rsidTr="00CB2DA6">
        <w:trPr>
          <w:trHeight w:val="300"/>
        </w:trPr>
        <w:tc>
          <w:tcPr>
            <w:tcW w:w="5231" w:type="dxa"/>
            <w:gridSpan w:val="3"/>
            <w:tcBorders>
              <w:top w:val="nil"/>
              <w:left w:val="nil"/>
              <w:bottom w:val="nil"/>
              <w:right w:val="nil"/>
            </w:tcBorders>
            <w:shd w:val="clear" w:color="auto" w:fill="auto"/>
            <w:noWrap/>
            <w:vAlign w:val="center"/>
            <w:hideMark/>
          </w:tcPr>
          <w:p w14:paraId="0371D999" w14:textId="77777777" w:rsidR="00CB2DA6" w:rsidRPr="00CB2DA6" w:rsidRDefault="00CB2DA6" w:rsidP="00CB2DA6">
            <w:pPr>
              <w:widowControl/>
              <w:autoSpaceDE/>
              <w:autoSpaceDN/>
              <w:rPr>
                <w:color w:val="000000"/>
                <w:lang w:val="en-US"/>
              </w:rPr>
            </w:pPr>
            <w:r w:rsidRPr="00CB2DA6">
              <w:rPr>
                <w:color w:val="000000"/>
                <w:lang w:val="en-US"/>
              </w:rPr>
              <w:t xml:space="preserve">   Income Amounts Effective: </w:t>
            </w:r>
            <w:r w:rsidRPr="00CB2DA6">
              <w:rPr>
                <w:b/>
                <w:bCs/>
                <w:i/>
                <w:iCs/>
                <w:color w:val="000000"/>
                <w:lang w:val="en-US"/>
              </w:rPr>
              <w:t>01/19/2023</w:t>
            </w:r>
          </w:p>
        </w:tc>
        <w:tc>
          <w:tcPr>
            <w:tcW w:w="1743" w:type="dxa"/>
            <w:tcBorders>
              <w:top w:val="nil"/>
              <w:left w:val="nil"/>
              <w:bottom w:val="nil"/>
              <w:right w:val="nil"/>
            </w:tcBorders>
            <w:shd w:val="clear" w:color="auto" w:fill="auto"/>
            <w:noWrap/>
            <w:vAlign w:val="bottom"/>
            <w:hideMark/>
          </w:tcPr>
          <w:p w14:paraId="41B585B8" w14:textId="77777777" w:rsidR="00CB2DA6" w:rsidRPr="00CB2DA6" w:rsidRDefault="00CB2DA6" w:rsidP="00CB2DA6">
            <w:pPr>
              <w:widowControl/>
              <w:autoSpaceDE/>
              <w:autoSpaceDN/>
              <w:rPr>
                <w:color w:val="000000"/>
                <w:lang w:val="en-US"/>
              </w:rPr>
            </w:pPr>
          </w:p>
        </w:tc>
        <w:tc>
          <w:tcPr>
            <w:tcW w:w="1743" w:type="dxa"/>
            <w:tcBorders>
              <w:top w:val="nil"/>
              <w:left w:val="nil"/>
              <w:bottom w:val="nil"/>
              <w:right w:val="nil"/>
            </w:tcBorders>
            <w:shd w:val="clear" w:color="auto" w:fill="auto"/>
            <w:noWrap/>
            <w:vAlign w:val="bottom"/>
            <w:hideMark/>
          </w:tcPr>
          <w:p w14:paraId="6BD7B417" w14:textId="77777777" w:rsidR="00CB2DA6" w:rsidRPr="00CB2DA6" w:rsidRDefault="00CB2DA6" w:rsidP="00CB2DA6">
            <w:pPr>
              <w:widowControl/>
              <w:autoSpaceDE/>
              <w:autoSpaceDN/>
              <w:rPr>
                <w:sz w:val="20"/>
                <w:szCs w:val="20"/>
                <w:lang w:val="en-US"/>
              </w:rPr>
            </w:pPr>
          </w:p>
        </w:tc>
        <w:tc>
          <w:tcPr>
            <w:tcW w:w="1743" w:type="dxa"/>
            <w:tcBorders>
              <w:top w:val="nil"/>
              <w:left w:val="nil"/>
              <w:bottom w:val="nil"/>
              <w:right w:val="nil"/>
            </w:tcBorders>
            <w:shd w:val="clear" w:color="auto" w:fill="auto"/>
            <w:noWrap/>
            <w:vAlign w:val="bottom"/>
            <w:hideMark/>
          </w:tcPr>
          <w:p w14:paraId="4D24C4CD" w14:textId="77777777" w:rsidR="00CB2DA6" w:rsidRPr="00CB2DA6" w:rsidRDefault="00CB2DA6" w:rsidP="00CB2DA6">
            <w:pPr>
              <w:widowControl/>
              <w:autoSpaceDE/>
              <w:autoSpaceDN/>
              <w:rPr>
                <w:sz w:val="20"/>
                <w:szCs w:val="20"/>
                <w:lang w:val="en-US"/>
              </w:rPr>
            </w:pPr>
          </w:p>
        </w:tc>
      </w:tr>
    </w:tbl>
    <w:p w14:paraId="62AF4DCE" w14:textId="77777777" w:rsidR="00CB2DA6" w:rsidRDefault="00CB2DA6" w:rsidP="00CB2DA6">
      <w:pPr>
        <w:pStyle w:val="Heading2"/>
        <w:spacing w:line="274" w:lineRule="exact"/>
        <w:ind w:firstLine="0"/>
        <w:rPr>
          <w:sz w:val="23"/>
          <w:szCs w:val="23"/>
          <w:u w:val="thick"/>
        </w:rPr>
      </w:pPr>
    </w:p>
    <w:p w14:paraId="7A48B81E" w14:textId="77777777" w:rsidR="00CB2DA6" w:rsidRDefault="00CB2DA6" w:rsidP="007A019F">
      <w:pPr>
        <w:pStyle w:val="Heading2"/>
        <w:spacing w:line="274" w:lineRule="exact"/>
        <w:ind w:firstLine="0"/>
        <w:jc w:val="center"/>
        <w:rPr>
          <w:sz w:val="23"/>
          <w:szCs w:val="23"/>
          <w:u w:val="thick"/>
        </w:rPr>
      </w:pPr>
    </w:p>
    <w:p w14:paraId="52CC4066" w14:textId="77777777" w:rsidR="00CB2DA6" w:rsidRDefault="00CB2DA6" w:rsidP="007A019F">
      <w:pPr>
        <w:pStyle w:val="Heading2"/>
        <w:spacing w:line="274" w:lineRule="exact"/>
        <w:ind w:firstLine="0"/>
        <w:jc w:val="center"/>
        <w:rPr>
          <w:sz w:val="23"/>
          <w:szCs w:val="23"/>
          <w:u w:val="thick"/>
        </w:rPr>
      </w:pPr>
    </w:p>
    <w:p w14:paraId="00CF594F" w14:textId="77777777" w:rsidR="0081144C" w:rsidRPr="007A019F" w:rsidRDefault="0081144C" w:rsidP="0081144C">
      <w:pPr>
        <w:pStyle w:val="Heading2"/>
        <w:spacing w:line="274" w:lineRule="exact"/>
        <w:ind w:firstLine="0"/>
        <w:jc w:val="center"/>
        <w:rPr>
          <w:u w:val="thick"/>
        </w:rPr>
      </w:pPr>
      <w:r>
        <w:rPr>
          <w:u w:val="thick"/>
        </w:rPr>
        <w:t>Políticas de asistencia financiera -  Adjunto 2</w:t>
      </w:r>
    </w:p>
    <w:p w14:paraId="2DA1CD6B" w14:textId="77777777" w:rsidR="007A019F" w:rsidRDefault="007A019F" w:rsidP="007A019F"/>
    <w:p w14:paraId="335251AC" w14:textId="77777777" w:rsidR="00AD5251" w:rsidRDefault="00A40895" w:rsidP="000E4F69">
      <w:pPr>
        <w:jc w:val="center"/>
        <w:rPr>
          <w:b/>
          <w:sz w:val="28"/>
          <w:szCs w:val="28"/>
        </w:rPr>
      </w:pPr>
      <w:r>
        <w:rPr>
          <w:b/>
          <w:sz w:val="28"/>
          <w:szCs w:val="28"/>
        </w:rPr>
        <w:t xml:space="preserve">PRESTADORES DE MCHD QUE PARTICIPAN EN EL </w:t>
      </w:r>
    </w:p>
    <w:p w14:paraId="7814039E" w14:textId="77777777" w:rsidR="00AD5251" w:rsidRDefault="00A40895" w:rsidP="000E4F69">
      <w:pPr>
        <w:jc w:val="center"/>
        <w:rPr>
          <w:b/>
          <w:sz w:val="28"/>
          <w:szCs w:val="28"/>
        </w:rPr>
      </w:pPr>
      <w:r>
        <w:rPr>
          <w:b/>
          <w:sz w:val="28"/>
          <w:szCs w:val="28"/>
        </w:rPr>
        <w:t xml:space="preserve"> PROGRAMA DE ASISTENCIA FINANCIERA</w:t>
      </w:r>
    </w:p>
    <w:p w14:paraId="32DBBB93" w14:textId="77777777" w:rsidR="00AD5251" w:rsidRDefault="00AD5251" w:rsidP="000E4F69">
      <w:pPr>
        <w:jc w:val="center"/>
        <w:rPr>
          <w:b/>
          <w:sz w:val="28"/>
          <w:szCs w:val="28"/>
        </w:rPr>
      </w:pPr>
      <w:r>
        <w:rPr>
          <w:b/>
          <w:sz w:val="28"/>
          <w:szCs w:val="28"/>
        </w:rPr>
        <w:t xml:space="preserve"> </w:t>
      </w:r>
    </w:p>
    <w:p w14:paraId="32B7B950" w14:textId="77777777" w:rsidR="00AD5251" w:rsidRDefault="00AD5251" w:rsidP="000E4F69">
      <w:pPr>
        <w:jc w:val="center"/>
        <w:rPr>
          <w:b/>
          <w:sz w:val="28"/>
          <w:szCs w:val="28"/>
        </w:rPr>
      </w:pPr>
    </w:p>
    <w:p w14:paraId="4D4D13C5" w14:textId="77777777" w:rsidR="00A40895" w:rsidRDefault="00AD5251" w:rsidP="00CB2DA6">
      <w:pPr>
        <w:jc w:val="center"/>
        <w:rPr>
          <w:b/>
          <w:sz w:val="28"/>
          <w:szCs w:val="28"/>
        </w:rPr>
      </w:pPr>
      <w:r>
        <w:rPr>
          <w:b/>
          <w:sz w:val="28"/>
          <w:szCs w:val="28"/>
        </w:rPr>
        <w:t>Participan todos los prestadores empleados o contratados por MCHD para trabajar en Pioneer Memorial Hospital &amp; Nursing Facility, Pioneer Memorial Clinic, Ione Community Clinic</w:t>
      </w:r>
      <w:r w:rsidR="00CB2DA6">
        <w:rPr>
          <w:b/>
          <w:sz w:val="28"/>
          <w:szCs w:val="28"/>
        </w:rPr>
        <w:t xml:space="preserve">, </w:t>
      </w:r>
      <w:r>
        <w:rPr>
          <w:b/>
          <w:sz w:val="28"/>
          <w:szCs w:val="28"/>
        </w:rPr>
        <w:t>Irrigon Medical Clinic</w:t>
      </w:r>
      <w:r w:rsidR="00CB2DA6">
        <w:rPr>
          <w:b/>
          <w:sz w:val="28"/>
          <w:szCs w:val="28"/>
        </w:rPr>
        <w:t>, e Boardman Immediate Care</w:t>
      </w:r>
    </w:p>
    <w:p w14:paraId="20FC4103" w14:textId="77777777" w:rsidR="00A40895" w:rsidRDefault="00A40895" w:rsidP="000E4F69">
      <w:pPr>
        <w:jc w:val="center"/>
        <w:rPr>
          <w:b/>
          <w:sz w:val="28"/>
          <w:szCs w:val="28"/>
        </w:rPr>
      </w:pPr>
    </w:p>
    <w:p w14:paraId="0856DEC5" w14:textId="77777777" w:rsidR="00CB2DA6" w:rsidRDefault="00CB2DA6" w:rsidP="00C4483B">
      <w:pPr>
        <w:jc w:val="center"/>
        <w:rPr>
          <w:b/>
          <w:sz w:val="28"/>
          <w:szCs w:val="28"/>
        </w:rPr>
      </w:pPr>
    </w:p>
    <w:p w14:paraId="07ACD468" w14:textId="77777777" w:rsidR="00CB2DA6" w:rsidRPr="00CB2DA6" w:rsidRDefault="00CB2DA6" w:rsidP="00CB2DA6">
      <w:pPr>
        <w:jc w:val="center"/>
        <w:rPr>
          <w:b/>
          <w:sz w:val="28"/>
          <w:szCs w:val="28"/>
        </w:rPr>
      </w:pPr>
      <w:r w:rsidRPr="00CB2DA6">
        <w:rPr>
          <w:b/>
          <w:sz w:val="28"/>
          <w:szCs w:val="28"/>
        </w:rPr>
        <w:t>Eileen McElligott, NP</w:t>
      </w:r>
    </w:p>
    <w:p w14:paraId="0C5D4D09" w14:textId="77777777" w:rsidR="00CB2DA6" w:rsidRPr="00CB2DA6" w:rsidRDefault="00CB2DA6" w:rsidP="00CB2DA6">
      <w:pPr>
        <w:jc w:val="center"/>
        <w:rPr>
          <w:b/>
          <w:sz w:val="28"/>
          <w:szCs w:val="28"/>
        </w:rPr>
      </w:pPr>
      <w:r w:rsidRPr="00CB2DA6">
        <w:rPr>
          <w:b/>
          <w:sz w:val="28"/>
          <w:szCs w:val="28"/>
        </w:rPr>
        <w:t>Jon Watson, PA-C</w:t>
      </w:r>
    </w:p>
    <w:p w14:paraId="72610F09" w14:textId="77777777" w:rsidR="00CB2DA6" w:rsidRPr="00CB2DA6" w:rsidRDefault="00CB2DA6" w:rsidP="00CB2DA6">
      <w:pPr>
        <w:jc w:val="center"/>
        <w:rPr>
          <w:b/>
          <w:sz w:val="28"/>
          <w:szCs w:val="28"/>
        </w:rPr>
      </w:pPr>
      <w:r w:rsidRPr="00CB2DA6">
        <w:rPr>
          <w:b/>
          <w:sz w:val="28"/>
          <w:szCs w:val="28"/>
        </w:rPr>
        <w:t>Justin Cameron, PA-C</w:t>
      </w:r>
    </w:p>
    <w:p w14:paraId="108AB206" w14:textId="77777777" w:rsidR="00CB2DA6" w:rsidRPr="00CB2DA6" w:rsidRDefault="00CB2DA6" w:rsidP="00CB2DA6">
      <w:pPr>
        <w:jc w:val="center"/>
        <w:rPr>
          <w:b/>
          <w:sz w:val="28"/>
          <w:szCs w:val="28"/>
        </w:rPr>
      </w:pPr>
      <w:r w:rsidRPr="00CB2DA6">
        <w:rPr>
          <w:b/>
          <w:sz w:val="28"/>
          <w:szCs w:val="28"/>
        </w:rPr>
        <w:t>Vicki Kent, NP</w:t>
      </w:r>
    </w:p>
    <w:p w14:paraId="33DC5D6F" w14:textId="77777777" w:rsidR="00CB2DA6" w:rsidRPr="00CB2DA6" w:rsidRDefault="00CB2DA6" w:rsidP="00CB2DA6">
      <w:pPr>
        <w:jc w:val="center"/>
        <w:rPr>
          <w:b/>
          <w:sz w:val="28"/>
          <w:szCs w:val="28"/>
        </w:rPr>
      </w:pPr>
      <w:r w:rsidRPr="00CB2DA6">
        <w:rPr>
          <w:b/>
          <w:sz w:val="28"/>
          <w:szCs w:val="28"/>
        </w:rPr>
        <w:t>Jamie Reed, CSWA</w:t>
      </w:r>
    </w:p>
    <w:p w14:paraId="27F92937" w14:textId="77777777" w:rsidR="00CB2DA6" w:rsidRPr="00CB2DA6" w:rsidRDefault="00CB2DA6" w:rsidP="00CB2DA6">
      <w:pPr>
        <w:jc w:val="center"/>
        <w:rPr>
          <w:b/>
          <w:sz w:val="28"/>
          <w:szCs w:val="28"/>
        </w:rPr>
      </w:pPr>
      <w:r w:rsidRPr="00CB2DA6">
        <w:rPr>
          <w:b/>
          <w:sz w:val="28"/>
          <w:szCs w:val="28"/>
        </w:rPr>
        <w:t>Jennifer Barden, NP</w:t>
      </w:r>
    </w:p>
    <w:p w14:paraId="1CAEFE2C" w14:textId="77777777" w:rsidR="00CB2DA6" w:rsidRPr="00CB2DA6" w:rsidRDefault="00CB2DA6" w:rsidP="00CB2DA6">
      <w:pPr>
        <w:jc w:val="center"/>
        <w:rPr>
          <w:b/>
          <w:sz w:val="28"/>
          <w:szCs w:val="28"/>
        </w:rPr>
      </w:pPr>
      <w:r w:rsidRPr="00CB2DA6">
        <w:rPr>
          <w:b/>
          <w:sz w:val="28"/>
          <w:szCs w:val="28"/>
        </w:rPr>
        <w:t>Lary Stieglitz, MD</w:t>
      </w:r>
    </w:p>
    <w:p w14:paraId="005993A3" w14:textId="77777777" w:rsidR="00CB2DA6" w:rsidRPr="00CB2DA6" w:rsidRDefault="00CB2DA6" w:rsidP="00CB2DA6">
      <w:pPr>
        <w:jc w:val="center"/>
        <w:rPr>
          <w:b/>
          <w:sz w:val="28"/>
          <w:szCs w:val="28"/>
        </w:rPr>
      </w:pPr>
      <w:r w:rsidRPr="00CB2DA6">
        <w:rPr>
          <w:b/>
          <w:sz w:val="28"/>
          <w:szCs w:val="28"/>
        </w:rPr>
        <w:t>Amanda Roy, PA-C</w:t>
      </w:r>
    </w:p>
    <w:p w14:paraId="078189CB" w14:textId="77777777" w:rsidR="00CB2DA6" w:rsidRPr="00CB2DA6" w:rsidRDefault="00CB2DA6" w:rsidP="00CB2DA6">
      <w:pPr>
        <w:jc w:val="center"/>
        <w:rPr>
          <w:b/>
          <w:sz w:val="28"/>
          <w:szCs w:val="28"/>
        </w:rPr>
      </w:pPr>
      <w:r w:rsidRPr="00CB2DA6">
        <w:rPr>
          <w:b/>
          <w:sz w:val="28"/>
          <w:szCs w:val="28"/>
        </w:rPr>
        <w:t>Rodney Schaffer, MD</w:t>
      </w:r>
    </w:p>
    <w:p w14:paraId="0F8FDF5B" w14:textId="77777777" w:rsidR="00CB2DA6" w:rsidRPr="00CB2DA6" w:rsidRDefault="00CB2DA6" w:rsidP="00CB2DA6">
      <w:pPr>
        <w:jc w:val="center"/>
        <w:rPr>
          <w:b/>
          <w:sz w:val="28"/>
          <w:szCs w:val="28"/>
        </w:rPr>
      </w:pPr>
      <w:r w:rsidRPr="00CB2DA6">
        <w:rPr>
          <w:b/>
          <w:sz w:val="28"/>
          <w:szCs w:val="28"/>
        </w:rPr>
        <w:t>Christine Seals, MD</w:t>
      </w:r>
    </w:p>
    <w:p w14:paraId="1D78672A" w14:textId="77777777" w:rsidR="00CB2DA6" w:rsidRPr="00CB2DA6" w:rsidRDefault="00CB2DA6" w:rsidP="00CB2DA6">
      <w:pPr>
        <w:jc w:val="center"/>
        <w:rPr>
          <w:b/>
          <w:sz w:val="28"/>
          <w:szCs w:val="28"/>
        </w:rPr>
      </w:pPr>
      <w:r w:rsidRPr="00CB2DA6">
        <w:rPr>
          <w:b/>
          <w:sz w:val="28"/>
          <w:szCs w:val="28"/>
        </w:rPr>
        <w:t>Michael Metzler, MD</w:t>
      </w:r>
    </w:p>
    <w:p w14:paraId="2F1A7AEE" w14:textId="77777777" w:rsidR="00CB2DA6" w:rsidRPr="00CB2DA6" w:rsidRDefault="00CB2DA6" w:rsidP="00CB2DA6">
      <w:pPr>
        <w:jc w:val="center"/>
        <w:rPr>
          <w:b/>
          <w:sz w:val="28"/>
          <w:szCs w:val="28"/>
        </w:rPr>
      </w:pPr>
      <w:r w:rsidRPr="00CB2DA6">
        <w:rPr>
          <w:b/>
          <w:sz w:val="28"/>
          <w:szCs w:val="28"/>
        </w:rPr>
        <w:t>Jeffrey Westin, MD</w:t>
      </w:r>
    </w:p>
    <w:p w14:paraId="25EAD54A" w14:textId="77777777" w:rsidR="00CB2DA6" w:rsidRPr="00CB2DA6" w:rsidRDefault="00CB2DA6" w:rsidP="00CB2DA6">
      <w:pPr>
        <w:jc w:val="center"/>
        <w:rPr>
          <w:b/>
          <w:sz w:val="28"/>
          <w:szCs w:val="28"/>
        </w:rPr>
      </w:pPr>
      <w:r w:rsidRPr="00CB2DA6">
        <w:rPr>
          <w:b/>
          <w:sz w:val="28"/>
          <w:szCs w:val="28"/>
        </w:rPr>
        <w:t>William Everts, DO</w:t>
      </w:r>
    </w:p>
    <w:p w14:paraId="3D054B64" w14:textId="77777777" w:rsidR="00CB2DA6" w:rsidRPr="00CB2DA6" w:rsidRDefault="00CB2DA6" w:rsidP="00CB2DA6">
      <w:pPr>
        <w:jc w:val="center"/>
        <w:rPr>
          <w:b/>
          <w:sz w:val="28"/>
          <w:szCs w:val="28"/>
        </w:rPr>
      </w:pPr>
      <w:r w:rsidRPr="00CB2DA6">
        <w:rPr>
          <w:b/>
          <w:sz w:val="28"/>
          <w:szCs w:val="28"/>
        </w:rPr>
        <w:t>Peter Viavant, MD</w:t>
      </w:r>
    </w:p>
    <w:p w14:paraId="0F2A12CF" w14:textId="77777777" w:rsidR="00CB2DA6" w:rsidRDefault="00CB2DA6" w:rsidP="00CB2DA6">
      <w:pPr>
        <w:jc w:val="center"/>
        <w:rPr>
          <w:rFonts w:ascii="Arial" w:hAnsi="Arial" w:cs="Arial"/>
          <w:color w:val="182D4A"/>
          <w:sz w:val="23"/>
          <w:szCs w:val="23"/>
        </w:rPr>
      </w:pPr>
      <w:r w:rsidRPr="00CB2DA6">
        <w:rPr>
          <w:b/>
          <w:sz w:val="28"/>
          <w:szCs w:val="28"/>
        </w:rPr>
        <w:t>Edward Piepmeier,</w:t>
      </w:r>
      <w:r>
        <w:rPr>
          <w:rFonts w:ascii="Arial" w:hAnsi="Arial" w:cs="Arial"/>
          <w:color w:val="182D4A"/>
          <w:sz w:val="23"/>
          <w:szCs w:val="23"/>
        </w:rPr>
        <w:t xml:space="preserve"> </w:t>
      </w:r>
      <w:r w:rsidRPr="00CB2DA6">
        <w:rPr>
          <w:b/>
          <w:sz w:val="28"/>
          <w:szCs w:val="28"/>
        </w:rPr>
        <w:t>MD</w:t>
      </w:r>
    </w:p>
    <w:p w14:paraId="5C205854" w14:textId="77777777" w:rsidR="00CB2DA6" w:rsidRPr="00CB2DA6" w:rsidRDefault="00CB2DA6" w:rsidP="00CB2DA6">
      <w:pPr>
        <w:jc w:val="center"/>
        <w:rPr>
          <w:b/>
          <w:sz w:val="28"/>
          <w:szCs w:val="28"/>
        </w:rPr>
      </w:pPr>
      <w:r w:rsidRPr="00CB2DA6">
        <w:rPr>
          <w:b/>
          <w:sz w:val="28"/>
          <w:szCs w:val="28"/>
        </w:rPr>
        <w:t>Mark Stevens, NP</w:t>
      </w:r>
    </w:p>
    <w:p w14:paraId="5FE97325" w14:textId="77777777" w:rsidR="00CB2DA6" w:rsidRPr="00CB2DA6" w:rsidRDefault="00CB2DA6" w:rsidP="00CB2DA6">
      <w:pPr>
        <w:jc w:val="center"/>
        <w:rPr>
          <w:b/>
          <w:sz w:val="28"/>
          <w:szCs w:val="28"/>
        </w:rPr>
      </w:pPr>
      <w:r w:rsidRPr="00CB2DA6">
        <w:rPr>
          <w:b/>
          <w:sz w:val="28"/>
          <w:szCs w:val="28"/>
        </w:rPr>
        <w:t>Jianming Song, MD</w:t>
      </w:r>
    </w:p>
    <w:p w14:paraId="19F32A1C" w14:textId="77777777" w:rsidR="00CB2DA6" w:rsidRPr="00CB2DA6" w:rsidRDefault="00CB2DA6" w:rsidP="00CB2DA6">
      <w:pPr>
        <w:jc w:val="center"/>
        <w:rPr>
          <w:b/>
          <w:sz w:val="28"/>
          <w:szCs w:val="28"/>
        </w:rPr>
      </w:pPr>
      <w:r w:rsidRPr="00CB2DA6">
        <w:rPr>
          <w:b/>
          <w:sz w:val="28"/>
          <w:szCs w:val="28"/>
        </w:rPr>
        <w:t>Rebecca Humphreys, LCSW</w:t>
      </w:r>
    </w:p>
    <w:p w14:paraId="20A33B95" w14:textId="77777777" w:rsidR="00CB2DA6" w:rsidRPr="00CB2DA6" w:rsidRDefault="00CB2DA6" w:rsidP="00CB2DA6">
      <w:pPr>
        <w:jc w:val="center"/>
        <w:rPr>
          <w:b/>
          <w:sz w:val="28"/>
          <w:szCs w:val="28"/>
        </w:rPr>
      </w:pPr>
      <w:r w:rsidRPr="00CB2DA6">
        <w:rPr>
          <w:b/>
          <w:sz w:val="28"/>
          <w:szCs w:val="28"/>
        </w:rPr>
        <w:t>Teresa Landreth, LCSW</w:t>
      </w:r>
    </w:p>
    <w:p w14:paraId="31317A94" w14:textId="77777777" w:rsidR="00CB2DA6" w:rsidRPr="00CB2DA6" w:rsidRDefault="00CB2DA6" w:rsidP="00CB2DA6">
      <w:pPr>
        <w:jc w:val="center"/>
        <w:rPr>
          <w:b/>
          <w:sz w:val="28"/>
          <w:szCs w:val="28"/>
        </w:rPr>
      </w:pPr>
      <w:r w:rsidRPr="00CB2DA6">
        <w:rPr>
          <w:b/>
          <w:sz w:val="28"/>
          <w:szCs w:val="28"/>
        </w:rPr>
        <w:t>Travis Abele, MD</w:t>
      </w:r>
    </w:p>
    <w:p w14:paraId="52384320" w14:textId="77777777" w:rsidR="00CB2DA6" w:rsidRPr="00CB2DA6" w:rsidRDefault="00CB2DA6" w:rsidP="00CB2DA6">
      <w:pPr>
        <w:jc w:val="center"/>
        <w:rPr>
          <w:b/>
          <w:sz w:val="28"/>
          <w:szCs w:val="28"/>
        </w:rPr>
      </w:pPr>
      <w:r w:rsidRPr="00CB2DA6">
        <w:rPr>
          <w:b/>
          <w:sz w:val="28"/>
          <w:szCs w:val="28"/>
        </w:rPr>
        <w:t>Matthew Bentz, MD</w:t>
      </w:r>
    </w:p>
    <w:p w14:paraId="537407C7" w14:textId="77777777" w:rsidR="00CB2DA6" w:rsidRPr="00CB2DA6" w:rsidRDefault="00CB2DA6" w:rsidP="00CB2DA6">
      <w:pPr>
        <w:jc w:val="center"/>
        <w:rPr>
          <w:b/>
          <w:sz w:val="28"/>
          <w:szCs w:val="28"/>
        </w:rPr>
      </w:pPr>
      <w:r w:rsidRPr="00CB2DA6">
        <w:rPr>
          <w:b/>
          <w:sz w:val="28"/>
          <w:szCs w:val="28"/>
        </w:rPr>
        <w:t>Ryan Berecky, MD</w:t>
      </w:r>
    </w:p>
    <w:p w14:paraId="255B3F60" w14:textId="77777777" w:rsidR="00CB2DA6" w:rsidRPr="00CB2DA6" w:rsidRDefault="00CB2DA6" w:rsidP="00CB2DA6">
      <w:pPr>
        <w:jc w:val="center"/>
        <w:rPr>
          <w:b/>
          <w:sz w:val="28"/>
          <w:szCs w:val="28"/>
        </w:rPr>
      </w:pPr>
      <w:r w:rsidRPr="00CB2DA6">
        <w:rPr>
          <w:b/>
          <w:sz w:val="28"/>
          <w:szCs w:val="28"/>
        </w:rPr>
        <w:t>Nicholas Branting, MD</w:t>
      </w:r>
    </w:p>
    <w:p w14:paraId="389B16CC" w14:textId="77777777" w:rsidR="00CB2DA6" w:rsidRPr="00CB2DA6" w:rsidRDefault="00CB2DA6" w:rsidP="00CB2DA6">
      <w:pPr>
        <w:jc w:val="center"/>
        <w:rPr>
          <w:b/>
          <w:sz w:val="28"/>
          <w:szCs w:val="28"/>
        </w:rPr>
      </w:pPr>
      <w:r w:rsidRPr="00CB2DA6">
        <w:rPr>
          <w:b/>
          <w:sz w:val="28"/>
          <w:szCs w:val="28"/>
        </w:rPr>
        <w:t>Jozef Brozyna, DO</w:t>
      </w:r>
    </w:p>
    <w:p w14:paraId="30C6708B" w14:textId="77777777" w:rsidR="00CB2DA6" w:rsidRPr="00CB2DA6" w:rsidRDefault="00CB2DA6" w:rsidP="00CB2DA6">
      <w:pPr>
        <w:jc w:val="center"/>
        <w:rPr>
          <w:b/>
          <w:sz w:val="28"/>
          <w:szCs w:val="28"/>
        </w:rPr>
      </w:pPr>
      <w:r w:rsidRPr="00CB2DA6">
        <w:rPr>
          <w:b/>
          <w:sz w:val="28"/>
          <w:szCs w:val="28"/>
        </w:rPr>
        <w:t>Traci Clautice-Engle, MD</w:t>
      </w:r>
    </w:p>
    <w:p w14:paraId="47D85591" w14:textId="77777777" w:rsidR="00CB2DA6" w:rsidRPr="00CB2DA6" w:rsidRDefault="00CB2DA6" w:rsidP="00CB2DA6">
      <w:pPr>
        <w:jc w:val="center"/>
        <w:rPr>
          <w:b/>
          <w:sz w:val="28"/>
          <w:szCs w:val="28"/>
        </w:rPr>
      </w:pPr>
      <w:r w:rsidRPr="00CB2DA6">
        <w:rPr>
          <w:b/>
          <w:sz w:val="28"/>
          <w:szCs w:val="28"/>
        </w:rPr>
        <w:t>Christopher Coleman, MD</w:t>
      </w:r>
    </w:p>
    <w:p w14:paraId="51578A0B" w14:textId="77777777" w:rsidR="00CB2DA6" w:rsidRPr="00CB2DA6" w:rsidRDefault="00CB2DA6" w:rsidP="00CB2DA6">
      <w:pPr>
        <w:jc w:val="center"/>
        <w:rPr>
          <w:b/>
          <w:sz w:val="28"/>
          <w:szCs w:val="28"/>
        </w:rPr>
      </w:pPr>
      <w:r w:rsidRPr="00CB2DA6">
        <w:rPr>
          <w:b/>
          <w:sz w:val="28"/>
          <w:szCs w:val="28"/>
        </w:rPr>
        <w:t>Benjamin Cooper, MD</w:t>
      </w:r>
    </w:p>
    <w:p w14:paraId="2657B731" w14:textId="77777777" w:rsidR="00CB2DA6" w:rsidRPr="00CB2DA6" w:rsidRDefault="00CB2DA6" w:rsidP="00CB2DA6">
      <w:pPr>
        <w:jc w:val="center"/>
        <w:rPr>
          <w:b/>
          <w:sz w:val="28"/>
          <w:szCs w:val="28"/>
        </w:rPr>
      </w:pPr>
      <w:r w:rsidRPr="00CB2DA6">
        <w:rPr>
          <w:b/>
          <w:sz w:val="28"/>
          <w:szCs w:val="28"/>
        </w:rPr>
        <w:t>Casey Curran, MD</w:t>
      </w:r>
    </w:p>
    <w:p w14:paraId="0E1B9B8F" w14:textId="77777777" w:rsidR="00CB2DA6" w:rsidRPr="00CB2DA6" w:rsidRDefault="00CB2DA6" w:rsidP="00CB2DA6">
      <w:pPr>
        <w:jc w:val="center"/>
        <w:rPr>
          <w:b/>
          <w:sz w:val="28"/>
          <w:szCs w:val="28"/>
        </w:rPr>
      </w:pPr>
      <w:r w:rsidRPr="00CB2DA6">
        <w:rPr>
          <w:b/>
          <w:sz w:val="28"/>
          <w:szCs w:val="28"/>
        </w:rPr>
        <w:t>Benjamin English, MD</w:t>
      </w:r>
    </w:p>
    <w:p w14:paraId="542B7EBC" w14:textId="77777777" w:rsidR="00CB2DA6" w:rsidRPr="00CB2DA6" w:rsidRDefault="00CB2DA6" w:rsidP="00CB2DA6">
      <w:pPr>
        <w:jc w:val="center"/>
        <w:rPr>
          <w:b/>
          <w:sz w:val="28"/>
          <w:szCs w:val="28"/>
        </w:rPr>
      </w:pPr>
      <w:r w:rsidRPr="00CB2DA6">
        <w:rPr>
          <w:b/>
          <w:sz w:val="28"/>
          <w:szCs w:val="28"/>
        </w:rPr>
        <w:lastRenderedPageBreak/>
        <w:t>Amber Faast, MD</w:t>
      </w:r>
    </w:p>
    <w:p w14:paraId="23A9DE92" w14:textId="77777777" w:rsidR="00CB2DA6" w:rsidRPr="00CB2DA6" w:rsidRDefault="00CB2DA6" w:rsidP="00CB2DA6">
      <w:pPr>
        <w:jc w:val="center"/>
        <w:rPr>
          <w:b/>
          <w:sz w:val="28"/>
          <w:szCs w:val="28"/>
        </w:rPr>
      </w:pPr>
      <w:r w:rsidRPr="00CB2DA6">
        <w:rPr>
          <w:b/>
          <w:sz w:val="28"/>
          <w:szCs w:val="28"/>
        </w:rPr>
        <w:t>David Greenberg, MD</w:t>
      </w:r>
    </w:p>
    <w:p w14:paraId="46CC4C93" w14:textId="77777777" w:rsidR="00CB2DA6" w:rsidRPr="00CB2DA6" w:rsidRDefault="00CB2DA6" w:rsidP="00CB2DA6">
      <w:pPr>
        <w:jc w:val="center"/>
        <w:rPr>
          <w:b/>
          <w:sz w:val="28"/>
          <w:szCs w:val="28"/>
        </w:rPr>
      </w:pPr>
      <w:r w:rsidRPr="00CB2DA6">
        <w:rPr>
          <w:b/>
          <w:sz w:val="28"/>
          <w:szCs w:val="28"/>
        </w:rPr>
        <w:t>Stephen Haltom, MD</w:t>
      </w:r>
    </w:p>
    <w:p w14:paraId="26A26C76" w14:textId="77777777" w:rsidR="00CB2DA6" w:rsidRPr="00CB2DA6" w:rsidRDefault="00CB2DA6" w:rsidP="00CB2DA6">
      <w:pPr>
        <w:jc w:val="center"/>
        <w:rPr>
          <w:b/>
          <w:sz w:val="28"/>
          <w:szCs w:val="28"/>
        </w:rPr>
      </w:pPr>
      <w:r w:rsidRPr="00CB2DA6">
        <w:rPr>
          <w:b/>
          <w:sz w:val="28"/>
          <w:szCs w:val="28"/>
        </w:rPr>
        <w:t>Theodore Jennermann, MD</w:t>
      </w:r>
    </w:p>
    <w:p w14:paraId="4027A22A" w14:textId="77777777" w:rsidR="00CB2DA6" w:rsidRPr="00CB2DA6" w:rsidRDefault="00CB2DA6" w:rsidP="00CB2DA6">
      <w:pPr>
        <w:jc w:val="center"/>
        <w:rPr>
          <w:b/>
          <w:sz w:val="28"/>
          <w:szCs w:val="28"/>
        </w:rPr>
      </w:pPr>
      <w:r w:rsidRPr="00CB2DA6">
        <w:rPr>
          <w:b/>
          <w:sz w:val="28"/>
          <w:szCs w:val="28"/>
        </w:rPr>
        <w:t>Kai Kinder, MD</w:t>
      </w:r>
    </w:p>
    <w:p w14:paraId="4B85010B" w14:textId="77777777" w:rsidR="00CB2DA6" w:rsidRPr="00CB2DA6" w:rsidRDefault="00CB2DA6" w:rsidP="00CB2DA6">
      <w:pPr>
        <w:jc w:val="center"/>
        <w:rPr>
          <w:b/>
          <w:sz w:val="28"/>
          <w:szCs w:val="28"/>
        </w:rPr>
      </w:pPr>
      <w:r w:rsidRPr="00CB2DA6">
        <w:rPr>
          <w:b/>
          <w:sz w:val="28"/>
          <w:szCs w:val="28"/>
        </w:rPr>
        <w:t>Steven Kjobech, MD</w:t>
      </w:r>
    </w:p>
    <w:p w14:paraId="4885F064" w14:textId="77777777" w:rsidR="00CB2DA6" w:rsidRPr="00CB2DA6" w:rsidRDefault="00CB2DA6" w:rsidP="00CB2DA6">
      <w:pPr>
        <w:jc w:val="center"/>
        <w:rPr>
          <w:b/>
          <w:sz w:val="28"/>
          <w:szCs w:val="28"/>
        </w:rPr>
      </w:pPr>
      <w:r w:rsidRPr="00CB2DA6">
        <w:rPr>
          <w:b/>
          <w:sz w:val="28"/>
          <w:szCs w:val="28"/>
        </w:rPr>
        <w:t>Thomas Koehler, MD</w:t>
      </w:r>
    </w:p>
    <w:p w14:paraId="55640DA9" w14:textId="77777777" w:rsidR="00CB2DA6" w:rsidRPr="00CB2DA6" w:rsidRDefault="00CB2DA6" w:rsidP="00CB2DA6">
      <w:pPr>
        <w:jc w:val="center"/>
        <w:rPr>
          <w:b/>
          <w:sz w:val="28"/>
          <w:szCs w:val="28"/>
        </w:rPr>
      </w:pPr>
      <w:r w:rsidRPr="00CB2DA6">
        <w:rPr>
          <w:b/>
          <w:sz w:val="28"/>
          <w:szCs w:val="28"/>
        </w:rPr>
        <w:t>Daniel Lerner, MD</w:t>
      </w:r>
    </w:p>
    <w:p w14:paraId="7A6CE45B" w14:textId="77777777" w:rsidR="00CB2DA6" w:rsidRPr="00CB2DA6" w:rsidRDefault="00CB2DA6" w:rsidP="00CB2DA6">
      <w:pPr>
        <w:jc w:val="center"/>
        <w:rPr>
          <w:b/>
          <w:sz w:val="28"/>
          <w:szCs w:val="28"/>
        </w:rPr>
      </w:pPr>
      <w:r w:rsidRPr="00CB2DA6">
        <w:rPr>
          <w:b/>
          <w:sz w:val="28"/>
          <w:szCs w:val="28"/>
        </w:rPr>
        <w:t>Karen Lynn, MD</w:t>
      </w:r>
    </w:p>
    <w:p w14:paraId="3E8180B4" w14:textId="77777777" w:rsidR="00CB2DA6" w:rsidRPr="00CB2DA6" w:rsidRDefault="00CB2DA6" w:rsidP="00CB2DA6">
      <w:pPr>
        <w:jc w:val="center"/>
        <w:rPr>
          <w:b/>
          <w:sz w:val="28"/>
          <w:szCs w:val="28"/>
        </w:rPr>
      </w:pPr>
      <w:r w:rsidRPr="00CB2DA6">
        <w:rPr>
          <w:b/>
          <w:sz w:val="28"/>
          <w:szCs w:val="28"/>
        </w:rPr>
        <w:t>Dana Mann, MD</w:t>
      </w:r>
    </w:p>
    <w:p w14:paraId="093346CC" w14:textId="77777777" w:rsidR="00CB2DA6" w:rsidRPr="00CB2DA6" w:rsidRDefault="00CB2DA6" w:rsidP="00CB2DA6">
      <w:pPr>
        <w:jc w:val="center"/>
        <w:rPr>
          <w:b/>
          <w:sz w:val="28"/>
          <w:szCs w:val="28"/>
        </w:rPr>
      </w:pPr>
      <w:r w:rsidRPr="00CB2DA6">
        <w:rPr>
          <w:b/>
          <w:sz w:val="28"/>
          <w:szCs w:val="28"/>
        </w:rPr>
        <w:t>Laurie Martin, MD</w:t>
      </w:r>
    </w:p>
    <w:p w14:paraId="0F2FA594" w14:textId="77777777" w:rsidR="00CB2DA6" w:rsidRPr="00CB2DA6" w:rsidRDefault="00CB2DA6" w:rsidP="00CB2DA6">
      <w:pPr>
        <w:jc w:val="center"/>
        <w:rPr>
          <w:b/>
          <w:sz w:val="28"/>
          <w:szCs w:val="28"/>
        </w:rPr>
      </w:pPr>
      <w:r w:rsidRPr="00CB2DA6">
        <w:rPr>
          <w:b/>
          <w:sz w:val="28"/>
          <w:szCs w:val="28"/>
        </w:rPr>
        <w:t>Michael McLaughlin, MD</w:t>
      </w:r>
    </w:p>
    <w:p w14:paraId="31EFCB59" w14:textId="77777777" w:rsidR="00CB2DA6" w:rsidRPr="00CB2DA6" w:rsidRDefault="00CB2DA6" w:rsidP="00CB2DA6">
      <w:pPr>
        <w:jc w:val="center"/>
        <w:rPr>
          <w:b/>
          <w:sz w:val="28"/>
          <w:szCs w:val="28"/>
        </w:rPr>
      </w:pPr>
      <w:r w:rsidRPr="00CB2DA6">
        <w:rPr>
          <w:b/>
          <w:sz w:val="28"/>
          <w:szCs w:val="28"/>
        </w:rPr>
        <w:t>Steven Michel, MD</w:t>
      </w:r>
    </w:p>
    <w:p w14:paraId="5758F218" w14:textId="77777777" w:rsidR="00CB2DA6" w:rsidRPr="00CB2DA6" w:rsidRDefault="00CB2DA6" w:rsidP="00CB2DA6">
      <w:pPr>
        <w:jc w:val="center"/>
        <w:rPr>
          <w:b/>
          <w:sz w:val="28"/>
          <w:szCs w:val="28"/>
        </w:rPr>
      </w:pPr>
      <w:r w:rsidRPr="00CB2DA6">
        <w:rPr>
          <w:b/>
          <w:sz w:val="28"/>
          <w:szCs w:val="28"/>
        </w:rPr>
        <w:t>Edmund Pillsbury, MD</w:t>
      </w:r>
    </w:p>
    <w:p w14:paraId="0A4C579E" w14:textId="77777777" w:rsidR="00CB2DA6" w:rsidRPr="00CB2DA6" w:rsidRDefault="00CB2DA6" w:rsidP="00CB2DA6">
      <w:pPr>
        <w:jc w:val="center"/>
        <w:rPr>
          <w:b/>
          <w:sz w:val="28"/>
          <w:szCs w:val="28"/>
        </w:rPr>
      </w:pPr>
      <w:r w:rsidRPr="00CB2DA6">
        <w:rPr>
          <w:b/>
          <w:sz w:val="28"/>
          <w:szCs w:val="28"/>
        </w:rPr>
        <w:t>Roman Raju, MD</w:t>
      </w:r>
    </w:p>
    <w:p w14:paraId="2DC9F428" w14:textId="77777777" w:rsidR="00CB2DA6" w:rsidRPr="00CB2DA6" w:rsidRDefault="00CB2DA6" w:rsidP="00CB2DA6">
      <w:pPr>
        <w:jc w:val="center"/>
        <w:rPr>
          <w:b/>
          <w:sz w:val="28"/>
          <w:szCs w:val="28"/>
        </w:rPr>
      </w:pPr>
      <w:r w:rsidRPr="00CB2DA6">
        <w:rPr>
          <w:b/>
          <w:sz w:val="28"/>
          <w:szCs w:val="28"/>
        </w:rPr>
        <w:t>Garrett Schroeder, MD</w:t>
      </w:r>
    </w:p>
    <w:p w14:paraId="37A87F5E" w14:textId="77777777" w:rsidR="00CB2DA6" w:rsidRPr="00CB2DA6" w:rsidRDefault="00CB2DA6" w:rsidP="00CB2DA6">
      <w:pPr>
        <w:jc w:val="center"/>
        <w:rPr>
          <w:b/>
          <w:sz w:val="28"/>
          <w:szCs w:val="28"/>
        </w:rPr>
      </w:pPr>
      <w:r w:rsidRPr="00CB2DA6">
        <w:rPr>
          <w:b/>
          <w:sz w:val="28"/>
          <w:szCs w:val="28"/>
        </w:rPr>
        <w:t>John Stassen, MD</w:t>
      </w:r>
    </w:p>
    <w:p w14:paraId="562B1502" w14:textId="77777777" w:rsidR="00CB2DA6" w:rsidRPr="00CB2DA6" w:rsidRDefault="00CB2DA6" w:rsidP="00CB2DA6">
      <w:pPr>
        <w:jc w:val="center"/>
        <w:rPr>
          <w:b/>
          <w:sz w:val="28"/>
          <w:szCs w:val="28"/>
        </w:rPr>
      </w:pPr>
      <w:r w:rsidRPr="00CB2DA6">
        <w:rPr>
          <w:b/>
          <w:sz w:val="28"/>
          <w:szCs w:val="28"/>
        </w:rPr>
        <w:t>Daymen Tuscano, MD</w:t>
      </w:r>
    </w:p>
    <w:p w14:paraId="4DD1E217" w14:textId="77777777" w:rsidR="00CB2DA6" w:rsidRPr="00CB2DA6" w:rsidRDefault="00CB2DA6" w:rsidP="00CB2DA6">
      <w:pPr>
        <w:jc w:val="center"/>
        <w:rPr>
          <w:b/>
          <w:sz w:val="28"/>
          <w:szCs w:val="28"/>
        </w:rPr>
      </w:pPr>
      <w:r w:rsidRPr="00CB2DA6">
        <w:rPr>
          <w:b/>
          <w:sz w:val="28"/>
          <w:szCs w:val="28"/>
        </w:rPr>
        <w:t>William Wheir, MD</w:t>
      </w:r>
    </w:p>
    <w:p w14:paraId="07DB6992" w14:textId="77777777" w:rsidR="00CB2DA6" w:rsidRPr="00CB2DA6" w:rsidRDefault="00CB2DA6" w:rsidP="00CB2DA6">
      <w:pPr>
        <w:jc w:val="center"/>
        <w:rPr>
          <w:b/>
          <w:sz w:val="28"/>
          <w:szCs w:val="28"/>
        </w:rPr>
      </w:pPr>
      <w:r w:rsidRPr="00CB2DA6">
        <w:rPr>
          <w:b/>
          <w:sz w:val="28"/>
          <w:szCs w:val="28"/>
        </w:rPr>
        <w:t>Brant Wommack, MD</w:t>
      </w:r>
    </w:p>
    <w:p w14:paraId="076DB805" w14:textId="77777777" w:rsidR="00CB2DA6" w:rsidRPr="00CB2DA6" w:rsidRDefault="00CB2DA6" w:rsidP="00CB2DA6">
      <w:pPr>
        <w:jc w:val="center"/>
        <w:rPr>
          <w:b/>
          <w:sz w:val="28"/>
          <w:szCs w:val="28"/>
        </w:rPr>
      </w:pPr>
      <w:r w:rsidRPr="00CB2DA6">
        <w:rPr>
          <w:b/>
          <w:sz w:val="28"/>
          <w:szCs w:val="28"/>
        </w:rPr>
        <w:t>Alyssa McNamara, MD</w:t>
      </w:r>
    </w:p>
    <w:p w14:paraId="17395137" w14:textId="77777777" w:rsidR="00CB2DA6" w:rsidRPr="00CB2DA6" w:rsidRDefault="00CB2DA6" w:rsidP="00CB2DA6">
      <w:pPr>
        <w:jc w:val="center"/>
        <w:rPr>
          <w:b/>
          <w:sz w:val="28"/>
          <w:szCs w:val="28"/>
        </w:rPr>
      </w:pPr>
      <w:r w:rsidRPr="00CB2DA6">
        <w:rPr>
          <w:b/>
          <w:sz w:val="28"/>
          <w:szCs w:val="28"/>
        </w:rPr>
        <w:t>Steven Plimpton, MD</w:t>
      </w:r>
    </w:p>
    <w:p w14:paraId="0CED63B4" w14:textId="77777777" w:rsidR="00CB2DA6" w:rsidRPr="00CB2DA6" w:rsidRDefault="00CB2DA6" w:rsidP="00CB2DA6">
      <w:pPr>
        <w:jc w:val="center"/>
        <w:rPr>
          <w:b/>
          <w:sz w:val="28"/>
          <w:szCs w:val="28"/>
        </w:rPr>
      </w:pPr>
      <w:r w:rsidRPr="00CB2DA6">
        <w:rPr>
          <w:b/>
          <w:sz w:val="28"/>
          <w:szCs w:val="28"/>
        </w:rPr>
        <w:t>Stephen Weldon, MD</w:t>
      </w:r>
    </w:p>
    <w:p w14:paraId="0A16B720" w14:textId="77777777" w:rsidR="00CB2DA6" w:rsidRDefault="00CB2DA6" w:rsidP="00C4483B">
      <w:pPr>
        <w:jc w:val="center"/>
        <w:rPr>
          <w:b/>
          <w:sz w:val="28"/>
          <w:szCs w:val="28"/>
        </w:rPr>
      </w:pPr>
    </w:p>
    <w:sectPr w:rsidR="00CB2DA6" w:rsidSect="00885172">
      <w:pgSz w:w="12240" w:h="15840"/>
      <w:pgMar w:top="1020" w:right="1060" w:bottom="900" w:left="1320" w:header="729" w:footer="7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18557" w14:textId="77777777" w:rsidR="001F1925" w:rsidRDefault="001F1925">
      <w:r>
        <w:separator/>
      </w:r>
    </w:p>
  </w:endnote>
  <w:endnote w:type="continuationSeparator" w:id="0">
    <w:p w14:paraId="080AC5BF" w14:textId="77777777" w:rsidR="001F1925" w:rsidRDefault="001F1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9D5CC" w14:textId="77777777" w:rsidR="00CF3396" w:rsidRDefault="00CF3396">
    <w:pPr>
      <w:pStyle w:val="Footer"/>
      <w:pBdr>
        <w:top w:val="thinThickSmallGap" w:sz="24" w:space="1" w:color="622423" w:themeColor="accent2" w:themeShade="7F"/>
      </w:pBdr>
      <w:rPr>
        <w:rFonts w:asciiTheme="majorHAnsi" w:hAnsiTheme="majorHAnsi"/>
      </w:rPr>
    </w:pPr>
    <w:r>
      <w:rPr>
        <w:rFonts w:asciiTheme="majorHAnsi" w:hAnsiTheme="majorHAnsi"/>
      </w:rPr>
      <w:t xml:space="preserve">Policy Adopted </w:t>
    </w:r>
    <w:r w:rsidR="001A36C9">
      <w:rPr>
        <w:rFonts w:asciiTheme="majorHAnsi" w:hAnsiTheme="majorHAnsi"/>
      </w:rPr>
      <w:t>January 202</w:t>
    </w:r>
    <w:r w:rsidR="00CB2DA6">
      <w:rPr>
        <w:rFonts w:asciiTheme="majorHAnsi" w:hAnsiTheme="majorHAnsi"/>
      </w:rPr>
      <w:t>3</w:t>
    </w:r>
    <w:r>
      <w:rPr>
        <w:rFonts w:asciiTheme="majorHAnsi" w:hAnsiTheme="majorHAnsi"/>
      </w:rPr>
      <w:ptab w:relativeTo="margin" w:alignment="right" w:leader="none"/>
    </w:r>
    <w:r>
      <w:rPr>
        <w:rFonts w:asciiTheme="majorHAnsi" w:hAnsiTheme="majorHAnsi"/>
      </w:rPr>
      <w:t xml:space="preserve">Page </w:t>
    </w:r>
    <w:r w:rsidR="001C2F0A">
      <w:fldChar w:fldCharType="begin"/>
    </w:r>
    <w:r w:rsidR="001C2F0A">
      <w:instrText xml:space="preserve"> PAGE   \* MERGEFORMAT </w:instrText>
    </w:r>
    <w:r w:rsidR="001C2F0A">
      <w:fldChar w:fldCharType="separate"/>
    </w:r>
    <w:r w:rsidR="00CB2DA6" w:rsidRPr="00CB2DA6">
      <w:rPr>
        <w:rFonts w:asciiTheme="majorHAnsi" w:hAnsiTheme="majorHAnsi"/>
        <w:noProof/>
      </w:rPr>
      <w:t>6</w:t>
    </w:r>
    <w:r w:rsidR="001C2F0A">
      <w:rPr>
        <w:rFonts w:asciiTheme="majorHAnsi" w:hAnsiTheme="majorHAnsi"/>
        <w:noProof/>
      </w:rPr>
      <w:fldChar w:fldCharType="end"/>
    </w:r>
  </w:p>
  <w:p w14:paraId="0B2BD412" w14:textId="77777777" w:rsidR="001A718D" w:rsidRDefault="001A718D">
    <w:pPr>
      <w:pStyle w:val="BodyText"/>
      <w:spacing w:before="0" w:line="14" w:lineRule="auto"/>
      <w:ind w:left="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39E0AE" w14:textId="77777777" w:rsidR="001F1925" w:rsidRDefault="001F1925">
      <w:r>
        <w:separator/>
      </w:r>
    </w:p>
  </w:footnote>
  <w:footnote w:type="continuationSeparator" w:id="0">
    <w:p w14:paraId="72377D22" w14:textId="77777777" w:rsidR="001F1925" w:rsidRDefault="001F1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92D03" w14:textId="77777777" w:rsidR="001A718D" w:rsidRDefault="001A718D">
    <w:pPr>
      <w:pStyle w:val="BodyText"/>
      <w:spacing w:before="0" w:line="14" w:lineRule="auto"/>
      <w:ind w:left="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E267B"/>
    <w:multiLevelType w:val="hybridMultilevel"/>
    <w:tmpl w:val="5A9A5C42"/>
    <w:lvl w:ilvl="0" w:tplc="E6644FE4">
      <w:start w:val="1"/>
      <w:numFmt w:val="decimal"/>
      <w:lvlText w:val="%1."/>
      <w:lvlJc w:val="left"/>
      <w:pPr>
        <w:ind w:left="1950" w:hanging="360"/>
      </w:pPr>
      <w:rPr>
        <w:rFonts w:ascii="Times New Roman" w:eastAsia="Times New Roman" w:hAnsi="Times New Roman" w:cs="Times New Roman" w:hint="default"/>
        <w:b w:val="0"/>
        <w:spacing w:val="-17"/>
        <w:w w:val="99"/>
        <w:sz w:val="24"/>
        <w:szCs w:val="24"/>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abstractNum w:abstractNumId="1" w15:restartNumberingAfterBreak="0">
    <w:nsid w:val="15581850"/>
    <w:multiLevelType w:val="hybridMultilevel"/>
    <w:tmpl w:val="EFA88402"/>
    <w:lvl w:ilvl="0" w:tplc="0409000F">
      <w:start w:val="1"/>
      <w:numFmt w:val="decimal"/>
      <w:lvlText w:val="%1."/>
      <w:lvlJc w:val="left"/>
      <w:pPr>
        <w:ind w:left="808" w:hanging="284"/>
      </w:pPr>
      <w:rPr>
        <w:rFonts w:hint="default"/>
        <w:spacing w:val="-1"/>
        <w:w w:val="99"/>
        <w:sz w:val="24"/>
        <w:szCs w:val="24"/>
      </w:rPr>
    </w:lvl>
    <w:lvl w:ilvl="1" w:tplc="B64860CA">
      <w:start w:val="1"/>
      <w:numFmt w:val="decimal"/>
      <w:lvlText w:val="%2."/>
      <w:lvlJc w:val="left"/>
      <w:pPr>
        <w:ind w:left="1513" w:hanging="284"/>
      </w:pPr>
      <w:rPr>
        <w:rFonts w:ascii="Times New Roman" w:eastAsia="Times New Roman" w:hAnsi="Times New Roman" w:cs="Times New Roman" w:hint="default"/>
        <w:spacing w:val="-17"/>
        <w:w w:val="99"/>
        <w:sz w:val="24"/>
        <w:szCs w:val="24"/>
      </w:rPr>
    </w:lvl>
    <w:lvl w:ilvl="2" w:tplc="B338E968">
      <w:start w:val="1"/>
      <w:numFmt w:val="lowerLetter"/>
      <w:lvlText w:val="%3."/>
      <w:lvlJc w:val="left"/>
      <w:pPr>
        <w:ind w:left="2221" w:hanging="284"/>
      </w:pPr>
      <w:rPr>
        <w:rFonts w:ascii="Times New Roman" w:eastAsia="Times New Roman" w:hAnsi="Times New Roman" w:cs="Times New Roman" w:hint="default"/>
        <w:spacing w:val="-3"/>
        <w:w w:val="99"/>
        <w:sz w:val="24"/>
        <w:szCs w:val="24"/>
      </w:rPr>
    </w:lvl>
    <w:lvl w:ilvl="3" w:tplc="C2B409B8">
      <w:numFmt w:val="bullet"/>
      <w:lvlText w:val="•"/>
      <w:lvlJc w:val="left"/>
      <w:pPr>
        <w:ind w:left="3172" w:hanging="284"/>
      </w:pPr>
      <w:rPr>
        <w:rFonts w:hint="default"/>
      </w:rPr>
    </w:lvl>
    <w:lvl w:ilvl="4" w:tplc="4F1E7FF8">
      <w:numFmt w:val="bullet"/>
      <w:lvlText w:val="•"/>
      <w:lvlJc w:val="left"/>
      <w:pPr>
        <w:ind w:left="4125" w:hanging="284"/>
      </w:pPr>
      <w:rPr>
        <w:rFonts w:hint="default"/>
      </w:rPr>
    </w:lvl>
    <w:lvl w:ilvl="5" w:tplc="B890F3A0">
      <w:numFmt w:val="bullet"/>
      <w:lvlText w:val="•"/>
      <w:lvlJc w:val="left"/>
      <w:pPr>
        <w:ind w:left="5077" w:hanging="284"/>
      </w:pPr>
      <w:rPr>
        <w:rFonts w:hint="default"/>
      </w:rPr>
    </w:lvl>
    <w:lvl w:ilvl="6" w:tplc="CE7055A4">
      <w:numFmt w:val="bullet"/>
      <w:lvlText w:val="•"/>
      <w:lvlJc w:val="left"/>
      <w:pPr>
        <w:ind w:left="6030" w:hanging="284"/>
      </w:pPr>
      <w:rPr>
        <w:rFonts w:hint="default"/>
      </w:rPr>
    </w:lvl>
    <w:lvl w:ilvl="7" w:tplc="E8500BD2">
      <w:numFmt w:val="bullet"/>
      <w:lvlText w:val="•"/>
      <w:lvlJc w:val="left"/>
      <w:pPr>
        <w:ind w:left="6982" w:hanging="284"/>
      </w:pPr>
      <w:rPr>
        <w:rFonts w:hint="default"/>
      </w:rPr>
    </w:lvl>
    <w:lvl w:ilvl="8" w:tplc="B592305A">
      <w:numFmt w:val="bullet"/>
      <w:lvlText w:val="•"/>
      <w:lvlJc w:val="left"/>
      <w:pPr>
        <w:ind w:left="7935" w:hanging="284"/>
      </w:pPr>
      <w:rPr>
        <w:rFonts w:hint="default"/>
      </w:rPr>
    </w:lvl>
  </w:abstractNum>
  <w:abstractNum w:abstractNumId="2" w15:restartNumberingAfterBreak="0">
    <w:nsid w:val="1B6D4C0F"/>
    <w:multiLevelType w:val="hybridMultilevel"/>
    <w:tmpl w:val="33EC4D1A"/>
    <w:lvl w:ilvl="0" w:tplc="6C821040">
      <w:numFmt w:val="bullet"/>
      <w:lvlText w:val=""/>
      <w:lvlJc w:val="left"/>
      <w:pPr>
        <w:ind w:left="828" w:hanging="284"/>
      </w:pPr>
      <w:rPr>
        <w:rFonts w:ascii="Symbol" w:eastAsia="Symbol" w:hAnsi="Symbol" w:cs="Symbol" w:hint="default"/>
        <w:w w:val="100"/>
        <w:sz w:val="24"/>
        <w:szCs w:val="24"/>
      </w:rPr>
    </w:lvl>
    <w:lvl w:ilvl="1" w:tplc="DE3E9FC0">
      <w:numFmt w:val="bullet"/>
      <w:lvlText w:val="•"/>
      <w:lvlJc w:val="left"/>
      <w:pPr>
        <w:ind w:left="1724" w:hanging="284"/>
      </w:pPr>
      <w:rPr>
        <w:rFonts w:hint="default"/>
      </w:rPr>
    </w:lvl>
    <w:lvl w:ilvl="2" w:tplc="3388474C">
      <w:numFmt w:val="bullet"/>
      <w:lvlText w:val="•"/>
      <w:lvlJc w:val="left"/>
      <w:pPr>
        <w:ind w:left="2628" w:hanging="284"/>
      </w:pPr>
      <w:rPr>
        <w:rFonts w:hint="default"/>
      </w:rPr>
    </w:lvl>
    <w:lvl w:ilvl="3" w:tplc="87A2B0AA">
      <w:numFmt w:val="bullet"/>
      <w:lvlText w:val="•"/>
      <w:lvlJc w:val="left"/>
      <w:pPr>
        <w:ind w:left="3532" w:hanging="284"/>
      </w:pPr>
      <w:rPr>
        <w:rFonts w:hint="default"/>
      </w:rPr>
    </w:lvl>
    <w:lvl w:ilvl="4" w:tplc="D93C5856">
      <w:numFmt w:val="bullet"/>
      <w:lvlText w:val="•"/>
      <w:lvlJc w:val="left"/>
      <w:pPr>
        <w:ind w:left="4436" w:hanging="284"/>
      </w:pPr>
      <w:rPr>
        <w:rFonts w:hint="default"/>
      </w:rPr>
    </w:lvl>
    <w:lvl w:ilvl="5" w:tplc="66F8D8F6">
      <w:numFmt w:val="bullet"/>
      <w:lvlText w:val="•"/>
      <w:lvlJc w:val="left"/>
      <w:pPr>
        <w:ind w:left="5340" w:hanging="284"/>
      </w:pPr>
      <w:rPr>
        <w:rFonts w:hint="default"/>
      </w:rPr>
    </w:lvl>
    <w:lvl w:ilvl="6" w:tplc="15BE5D92">
      <w:numFmt w:val="bullet"/>
      <w:lvlText w:val="•"/>
      <w:lvlJc w:val="left"/>
      <w:pPr>
        <w:ind w:left="6244" w:hanging="284"/>
      </w:pPr>
      <w:rPr>
        <w:rFonts w:hint="default"/>
      </w:rPr>
    </w:lvl>
    <w:lvl w:ilvl="7" w:tplc="39DC2892">
      <w:numFmt w:val="bullet"/>
      <w:lvlText w:val="•"/>
      <w:lvlJc w:val="left"/>
      <w:pPr>
        <w:ind w:left="7148" w:hanging="284"/>
      </w:pPr>
      <w:rPr>
        <w:rFonts w:hint="default"/>
      </w:rPr>
    </w:lvl>
    <w:lvl w:ilvl="8" w:tplc="F2FE9D04">
      <w:numFmt w:val="bullet"/>
      <w:lvlText w:val="•"/>
      <w:lvlJc w:val="left"/>
      <w:pPr>
        <w:ind w:left="8052" w:hanging="284"/>
      </w:pPr>
      <w:rPr>
        <w:rFonts w:hint="default"/>
      </w:rPr>
    </w:lvl>
  </w:abstractNum>
  <w:abstractNum w:abstractNumId="3" w15:restartNumberingAfterBreak="0">
    <w:nsid w:val="22B2468E"/>
    <w:multiLevelType w:val="hybridMultilevel"/>
    <w:tmpl w:val="BDDAD086"/>
    <w:lvl w:ilvl="0" w:tplc="45509074">
      <w:start w:val="1"/>
      <w:numFmt w:val="upperLetter"/>
      <w:lvlText w:val="%1."/>
      <w:lvlJc w:val="left"/>
      <w:pPr>
        <w:ind w:left="808" w:hanging="284"/>
      </w:pPr>
      <w:rPr>
        <w:rFonts w:ascii="Times New Roman" w:eastAsia="Times New Roman" w:hAnsi="Times New Roman" w:cs="Times New Roman" w:hint="default"/>
        <w:b/>
        <w:spacing w:val="-1"/>
        <w:w w:val="99"/>
        <w:sz w:val="24"/>
        <w:szCs w:val="24"/>
      </w:rPr>
    </w:lvl>
    <w:lvl w:ilvl="1" w:tplc="B64860CA">
      <w:start w:val="1"/>
      <w:numFmt w:val="decimal"/>
      <w:lvlText w:val="%2."/>
      <w:lvlJc w:val="left"/>
      <w:pPr>
        <w:ind w:left="1513" w:hanging="284"/>
      </w:pPr>
      <w:rPr>
        <w:rFonts w:ascii="Times New Roman" w:eastAsia="Times New Roman" w:hAnsi="Times New Roman" w:cs="Times New Roman" w:hint="default"/>
        <w:spacing w:val="-17"/>
        <w:w w:val="99"/>
        <w:sz w:val="24"/>
        <w:szCs w:val="24"/>
      </w:rPr>
    </w:lvl>
    <w:lvl w:ilvl="2" w:tplc="B338E968">
      <w:start w:val="1"/>
      <w:numFmt w:val="lowerLetter"/>
      <w:lvlText w:val="%3."/>
      <w:lvlJc w:val="left"/>
      <w:pPr>
        <w:ind w:left="2221" w:hanging="284"/>
      </w:pPr>
      <w:rPr>
        <w:rFonts w:ascii="Times New Roman" w:eastAsia="Times New Roman" w:hAnsi="Times New Roman" w:cs="Times New Roman" w:hint="default"/>
        <w:spacing w:val="-3"/>
        <w:w w:val="99"/>
        <w:sz w:val="24"/>
        <w:szCs w:val="24"/>
      </w:rPr>
    </w:lvl>
    <w:lvl w:ilvl="3" w:tplc="C2B409B8">
      <w:numFmt w:val="bullet"/>
      <w:lvlText w:val="•"/>
      <w:lvlJc w:val="left"/>
      <w:pPr>
        <w:ind w:left="3172" w:hanging="284"/>
      </w:pPr>
      <w:rPr>
        <w:rFonts w:hint="default"/>
      </w:rPr>
    </w:lvl>
    <w:lvl w:ilvl="4" w:tplc="4F1E7FF8">
      <w:numFmt w:val="bullet"/>
      <w:lvlText w:val="•"/>
      <w:lvlJc w:val="left"/>
      <w:pPr>
        <w:ind w:left="4125" w:hanging="284"/>
      </w:pPr>
      <w:rPr>
        <w:rFonts w:hint="default"/>
      </w:rPr>
    </w:lvl>
    <w:lvl w:ilvl="5" w:tplc="B890F3A0">
      <w:numFmt w:val="bullet"/>
      <w:lvlText w:val="•"/>
      <w:lvlJc w:val="left"/>
      <w:pPr>
        <w:ind w:left="5077" w:hanging="284"/>
      </w:pPr>
      <w:rPr>
        <w:rFonts w:hint="default"/>
      </w:rPr>
    </w:lvl>
    <w:lvl w:ilvl="6" w:tplc="CE7055A4">
      <w:numFmt w:val="bullet"/>
      <w:lvlText w:val="•"/>
      <w:lvlJc w:val="left"/>
      <w:pPr>
        <w:ind w:left="6030" w:hanging="284"/>
      </w:pPr>
      <w:rPr>
        <w:rFonts w:hint="default"/>
      </w:rPr>
    </w:lvl>
    <w:lvl w:ilvl="7" w:tplc="E8500BD2">
      <w:numFmt w:val="bullet"/>
      <w:lvlText w:val="•"/>
      <w:lvlJc w:val="left"/>
      <w:pPr>
        <w:ind w:left="6982" w:hanging="284"/>
      </w:pPr>
      <w:rPr>
        <w:rFonts w:hint="default"/>
      </w:rPr>
    </w:lvl>
    <w:lvl w:ilvl="8" w:tplc="B592305A">
      <w:numFmt w:val="bullet"/>
      <w:lvlText w:val="•"/>
      <w:lvlJc w:val="left"/>
      <w:pPr>
        <w:ind w:left="7935" w:hanging="284"/>
      </w:pPr>
      <w:rPr>
        <w:rFonts w:hint="default"/>
      </w:rPr>
    </w:lvl>
  </w:abstractNum>
  <w:abstractNum w:abstractNumId="4" w15:restartNumberingAfterBreak="0">
    <w:nsid w:val="71E23373"/>
    <w:multiLevelType w:val="hybridMultilevel"/>
    <w:tmpl w:val="E810719E"/>
    <w:lvl w:ilvl="0" w:tplc="0409000F">
      <w:start w:val="1"/>
      <w:numFmt w:val="decimal"/>
      <w:lvlText w:val="%1."/>
      <w:lvlJc w:val="left"/>
      <w:pPr>
        <w:ind w:left="1950" w:hanging="360"/>
      </w:pPr>
      <w:rPr>
        <w:rFonts w:hint="default"/>
        <w:b w:val="0"/>
        <w:spacing w:val="-17"/>
        <w:w w:val="99"/>
        <w:sz w:val="24"/>
        <w:szCs w:val="24"/>
      </w:rPr>
    </w:lvl>
    <w:lvl w:ilvl="1" w:tplc="04090019" w:tentative="1">
      <w:start w:val="1"/>
      <w:numFmt w:val="lowerLetter"/>
      <w:lvlText w:val="%2."/>
      <w:lvlJc w:val="left"/>
      <w:pPr>
        <w:ind w:left="2670" w:hanging="360"/>
      </w:pPr>
    </w:lvl>
    <w:lvl w:ilvl="2" w:tplc="0409001B" w:tentative="1">
      <w:start w:val="1"/>
      <w:numFmt w:val="lowerRoman"/>
      <w:lvlText w:val="%3."/>
      <w:lvlJc w:val="right"/>
      <w:pPr>
        <w:ind w:left="3390" w:hanging="180"/>
      </w:pPr>
    </w:lvl>
    <w:lvl w:ilvl="3" w:tplc="0409000F" w:tentative="1">
      <w:start w:val="1"/>
      <w:numFmt w:val="decimal"/>
      <w:lvlText w:val="%4."/>
      <w:lvlJc w:val="left"/>
      <w:pPr>
        <w:ind w:left="4110" w:hanging="360"/>
      </w:pPr>
    </w:lvl>
    <w:lvl w:ilvl="4" w:tplc="04090019" w:tentative="1">
      <w:start w:val="1"/>
      <w:numFmt w:val="lowerLetter"/>
      <w:lvlText w:val="%5."/>
      <w:lvlJc w:val="left"/>
      <w:pPr>
        <w:ind w:left="4830" w:hanging="360"/>
      </w:pPr>
    </w:lvl>
    <w:lvl w:ilvl="5" w:tplc="0409001B" w:tentative="1">
      <w:start w:val="1"/>
      <w:numFmt w:val="lowerRoman"/>
      <w:lvlText w:val="%6."/>
      <w:lvlJc w:val="right"/>
      <w:pPr>
        <w:ind w:left="5550" w:hanging="180"/>
      </w:pPr>
    </w:lvl>
    <w:lvl w:ilvl="6" w:tplc="0409000F" w:tentative="1">
      <w:start w:val="1"/>
      <w:numFmt w:val="decimal"/>
      <w:lvlText w:val="%7."/>
      <w:lvlJc w:val="left"/>
      <w:pPr>
        <w:ind w:left="6270" w:hanging="360"/>
      </w:pPr>
    </w:lvl>
    <w:lvl w:ilvl="7" w:tplc="04090019" w:tentative="1">
      <w:start w:val="1"/>
      <w:numFmt w:val="lowerLetter"/>
      <w:lvlText w:val="%8."/>
      <w:lvlJc w:val="left"/>
      <w:pPr>
        <w:ind w:left="6990" w:hanging="360"/>
      </w:pPr>
    </w:lvl>
    <w:lvl w:ilvl="8" w:tplc="0409001B" w:tentative="1">
      <w:start w:val="1"/>
      <w:numFmt w:val="lowerRoman"/>
      <w:lvlText w:val="%9."/>
      <w:lvlJc w:val="right"/>
      <w:pPr>
        <w:ind w:left="7710" w:hanging="180"/>
      </w:pPr>
    </w:lvl>
  </w:abstractNum>
  <w:num w:numId="1" w16cid:durableId="1940721648">
    <w:abstractNumId w:val="3"/>
  </w:num>
  <w:num w:numId="2" w16cid:durableId="1372850538">
    <w:abstractNumId w:val="2"/>
  </w:num>
  <w:num w:numId="3" w16cid:durableId="191385186">
    <w:abstractNumId w:val="0"/>
  </w:num>
  <w:num w:numId="4" w16cid:durableId="1621885262">
    <w:abstractNumId w:val="4"/>
  </w:num>
  <w:num w:numId="5" w16cid:durableId="18898738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hideSpellingErrors/>
  <w:hideGrammaticalErrors/>
  <w:activeWritingStyle w:appName="MSWord" w:lang="es-ES" w:vendorID="64" w:dllVersion="6" w:nlCheck="1" w:checkStyle="0"/>
  <w:activeWritingStyle w:appName="MSWord" w:lang="en-US" w:vendorID="64" w:dllVersion="6" w:nlCheck="1" w:checkStyle="1"/>
  <w:documentProtection w:edit="readOnly" w:enforcement="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725"/>
    <w:rsid w:val="00005AE9"/>
    <w:rsid w:val="00085AD2"/>
    <w:rsid w:val="000B294F"/>
    <w:rsid w:val="000B59CF"/>
    <w:rsid w:val="000E4F69"/>
    <w:rsid w:val="00177427"/>
    <w:rsid w:val="001A36C9"/>
    <w:rsid w:val="001A718D"/>
    <w:rsid w:val="001B4570"/>
    <w:rsid w:val="001C15E1"/>
    <w:rsid w:val="001C2F0A"/>
    <w:rsid w:val="001E351A"/>
    <w:rsid w:val="001F1925"/>
    <w:rsid w:val="0020215A"/>
    <w:rsid w:val="00202AA2"/>
    <w:rsid w:val="00222C5D"/>
    <w:rsid w:val="00297B0B"/>
    <w:rsid w:val="002A5F1B"/>
    <w:rsid w:val="002D7782"/>
    <w:rsid w:val="002E53C0"/>
    <w:rsid w:val="003052D6"/>
    <w:rsid w:val="003A4D0D"/>
    <w:rsid w:val="003D02D4"/>
    <w:rsid w:val="00437C61"/>
    <w:rsid w:val="004750A0"/>
    <w:rsid w:val="004D7D4D"/>
    <w:rsid w:val="004E6F55"/>
    <w:rsid w:val="005045E9"/>
    <w:rsid w:val="0053286A"/>
    <w:rsid w:val="00544C17"/>
    <w:rsid w:val="00550C85"/>
    <w:rsid w:val="005E485E"/>
    <w:rsid w:val="005F16F9"/>
    <w:rsid w:val="00621E43"/>
    <w:rsid w:val="00644189"/>
    <w:rsid w:val="0065388C"/>
    <w:rsid w:val="00657597"/>
    <w:rsid w:val="006746D9"/>
    <w:rsid w:val="006B73B6"/>
    <w:rsid w:val="006F4D59"/>
    <w:rsid w:val="007172D6"/>
    <w:rsid w:val="00764741"/>
    <w:rsid w:val="007A019F"/>
    <w:rsid w:val="007B52BF"/>
    <w:rsid w:val="0081144C"/>
    <w:rsid w:val="00834C8C"/>
    <w:rsid w:val="00845209"/>
    <w:rsid w:val="00885172"/>
    <w:rsid w:val="00895F16"/>
    <w:rsid w:val="008A2001"/>
    <w:rsid w:val="008C4897"/>
    <w:rsid w:val="00950872"/>
    <w:rsid w:val="009674CC"/>
    <w:rsid w:val="00981137"/>
    <w:rsid w:val="009C5E45"/>
    <w:rsid w:val="009F520A"/>
    <w:rsid w:val="00A0262E"/>
    <w:rsid w:val="00A14B6B"/>
    <w:rsid w:val="00A40895"/>
    <w:rsid w:val="00AB03FB"/>
    <w:rsid w:val="00AD5251"/>
    <w:rsid w:val="00AE1418"/>
    <w:rsid w:val="00AF2F4A"/>
    <w:rsid w:val="00B11A8B"/>
    <w:rsid w:val="00B37CD3"/>
    <w:rsid w:val="00BC7428"/>
    <w:rsid w:val="00BD3317"/>
    <w:rsid w:val="00BE6F9E"/>
    <w:rsid w:val="00C3772C"/>
    <w:rsid w:val="00C42A38"/>
    <w:rsid w:val="00C4483B"/>
    <w:rsid w:val="00C5702F"/>
    <w:rsid w:val="00C60725"/>
    <w:rsid w:val="00C639B8"/>
    <w:rsid w:val="00C85AC2"/>
    <w:rsid w:val="00C93876"/>
    <w:rsid w:val="00CA708E"/>
    <w:rsid w:val="00CB2DA6"/>
    <w:rsid w:val="00CC19FE"/>
    <w:rsid w:val="00CF194F"/>
    <w:rsid w:val="00CF3396"/>
    <w:rsid w:val="00CF6A3A"/>
    <w:rsid w:val="00D170BD"/>
    <w:rsid w:val="00D80BAB"/>
    <w:rsid w:val="00D846F8"/>
    <w:rsid w:val="00D84C2E"/>
    <w:rsid w:val="00E108D5"/>
    <w:rsid w:val="00EC0B24"/>
    <w:rsid w:val="00EC69F7"/>
    <w:rsid w:val="00ED5659"/>
    <w:rsid w:val="00EF6564"/>
    <w:rsid w:val="00F06F92"/>
    <w:rsid w:val="00F1193A"/>
    <w:rsid w:val="00F54A89"/>
    <w:rsid w:val="00F5640A"/>
    <w:rsid w:val="00F830B9"/>
    <w:rsid w:val="00F841DD"/>
    <w:rsid w:val="00F92A0A"/>
    <w:rsid w:val="00FB6D31"/>
    <w:rsid w:val="00FF02AF"/>
    <w:rsid w:val="00FF1AA3"/>
    <w:rsid w:val="00FF1F9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C5224"/>
  <w15:docId w15:val="{FC031C2C-7FC7-478C-9871-9C28F93B4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85172"/>
    <w:rPr>
      <w:rFonts w:ascii="Times New Roman" w:eastAsia="Times New Roman" w:hAnsi="Times New Roman" w:cs="Times New Roman"/>
    </w:rPr>
  </w:style>
  <w:style w:type="paragraph" w:styleId="Heading1">
    <w:name w:val="heading 1"/>
    <w:basedOn w:val="Normal"/>
    <w:uiPriority w:val="1"/>
    <w:qFormat/>
    <w:rsid w:val="00885172"/>
    <w:pPr>
      <w:spacing w:before="126"/>
      <w:ind w:left="100"/>
      <w:outlineLvl w:val="0"/>
    </w:pPr>
    <w:rPr>
      <w:b/>
      <w:bCs/>
      <w:sz w:val="48"/>
      <w:szCs w:val="48"/>
    </w:rPr>
  </w:style>
  <w:style w:type="paragraph" w:styleId="Heading2">
    <w:name w:val="heading 2"/>
    <w:basedOn w:val="Normal"/>
    <w:uiPriority w:val="1"/>
    <w:qFormat/>
    <w:rsid w:val="00885172"/>
    <w:pPr>
      <w:spacing w:before="90"/>
      <w:ind w:left="120" w:hanging="284"/>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885172"/>
    <w:pPr>
      <w:spacing w:before="119"/>
      <w:ind w:left="1513"/>
    </w:pPr>
    <w:rPr>
      <w:sz w:val="24"/>
      <w:szCs w:val="24"/>
    </w:rPr>
  </w:style>
  <w:style w:type="paragraph" w:styleId="ListParagraph">
    <w:name w:val="List Paragraph"/>
    <w:basedOn w:val="Normal"/>
    <w:uiPriority w:val="1"/>
    <w:qFormat/>
    <w:rsid w:val="00885172"/>
    <w:pPr>
      <w:spacing w:before="119"/>
      <w:ind w:left="1513" w:hanging="283"/>
    </w:pPr>
  </w:style>
  <w:style w:type="paragraph" w:customStyle="1" w:styleId="TableParagraph">
    <w:name w:val="Table Paragraph"/>
    <w:basedOn w:val="Normal"/>
    <w:uiPriority w:val="1"/>
    <w:qFormat/>
    <w:rsid w:val="00885172"/>
    <w:pPr>
      <w:spacing w:before="138"/>
      <w:ind w:left="524" w:right="524"/>
      <w:jc w:val="center"/>
    </w:pPr>
  </w:style>
  <w:style w:type="paragraph" w:styleId="BalloonText">
    <w:name w:val="Balloon Text"/>
    <w:basedOn w:val="Normal"/>
    <w:link w:val="BalloonTextChar"/>
    <w:uiPriority w:val="99"/>
    <w:semiHidden/>
    <w:unhideWhenUsed/>
    <w:rsid w:val="008C489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4897"/>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5702F"/>
    <w:rPr>
      <w:sz w:val="16"/>
      <w:szCs w:val="16"/>
    </w:rPr>
  </w:style>
  <w:style w:type="paragraph" w:styleId="CommentText">
    <w:name w:val="annotation text"/>
    <w:basedOn w:val="Normal"/>
    <w:link w:val="CommentTextChar"/>
    <w:uiPriority w:val="99"/>
    <w:semiHidden/>
    <w:unhideWhenUsed/>
    <w:rsid w:val="00C5702F"/>
    <w:rPr>
      <w:sz w:val="20"/>
      <w:szCs w:val="20"/>
    </w:rPr>
  </w:style>
  <w:style w:type="character" w:customStyle="1" w:styleId="CommentTextChar">
    <w:name w:val="Comment Text Char"/>
    <w:basedOn w:val="DefaultParagraphFont"/>
    <w:link w:val="CommentText"/>
    <w:uiPriority w:val="99"/>
    <w:semiHidden/>
    <w:rsid w:val="00C5702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5702F"/>
    <w:rPr>
      <w:b/>
      <w:bCs/>
    </w:rPr>
  </w:style>
  <w:style w:type="character" w:customStyle="1" w:styleId="CommentSubjectChar">
    <w:name w:val="Comment Subject Char"/>
    <w:basedOn w:val="CommentTextChar"/>
    <w:link w:val="CommentSubject"/>
    <w:uiPriority w:val="99"/>
    <w:semiHidden/>
    <w:rsid w:val="00C5702F"/>
    <w:rPr>
      <w:rFonts w:ascii="Times New Roman" w:eastAsia="Times New Roman" w:hAnsi="Times New Roman" w:cs="Times New Roman"/>
      <w:b/>
      <w:bCs/>
      <w:sz w:val="20"/>
      <w:szCs w:val="20"/>
    </w:rPr>
  </w:style>
  <w:style w:type="character" w:styleId="Hyperlink">
    <w:name w:val="Hyperlink"/>
    <w:basedOn w:val="DefaultParagraphFont"/>
    <w:uiPriority w:val="99"/>
    <w:unhideWhenUsed/>
    <w:rsid w:val="00AF2F4A"/>
    <w:rPr>
      <w:color w:val="0000FF" w:themeColor="hyperlink"/>
      <w:u w:val="single"/>
    </w:rPr>
  </w:style>
  <w:style w:type="paragraph" w:styleId="NoSpacing">
    <w:name w:val="No Spacing"/>
    <w:uiPriority w:val="1"/>
    <w:qFormat/>
    <w:rsid w:val="007A019F"/>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81144C"/>
    <w:pPr>
      <w:spacing w:after="120" w:line="480" w:lineRule="auto"/>
      <w:ind w:left="360"/>
    </w:pPr>
  </w:style>
  <w:style w:type="character" w:customStyle="1" w:styleId="BodyTextIndent2Char">
    <w:name w:val="Body Text Indent 2 Char"/>
    <w:basedOn w:val="DefaultParagraphFont"/>
    <w:link w:val="BodyTextIndent2"/>
    <w:uiPriority w:val="99"/>
    <w:semiHidden/>
    <w:rsid w:val="0081144C"/>
    <w:rPr>
      <w:rFonts w:ascii="Times New Roman" w:eastAsia="Times New Roman" w:hAnsi="Times New Roman" w:cs="Times New Roman"/>
    </w:rPr>
  </w:style>
  <w:style w:type="paragraph" w:styleId="Revision">
    <w:name w:val="Revision"/>
    <w:hidden/>
    <w:uiPriority w:val="99"/>
    <w:semiHidden/>
    <w:rsid w:val="001A718D"/>
    <w:pPr>
      <w:widowControl/>
      <w:autoSpaceDE/>
      <w:autoSpaceDN/>
    </w:pPr>
    <w:rPr>
      <w:rFonts w:ascii="Times New Roman" w:eastAsia="Times New Roman" w:hAnsi="Times New Roman" w:cs="Times New Roman"/>
    </w:rPr>
  </w:style>
  <w:style w:type="paragraph" w:styleId="Header">
    <w:name w:val="header"/>
    <w:basedOn w:val="Normal"/>
    <w:link w:val="HeaderChar"/>
    <w:uiPriority w:val="99"/>
    <w:unhideWhenUsed/>
    <w:rsid w:val="00F5640A"/>
    <w:pPr>
      <w:tabs>
        <w:tab w:val="center" w:pos="4680"/>
        <w:tab w:val="right" w:pos="9360"/>
      </w:tabs>
    </w:pPr>
  </w:style>
  <w:style w:type="character" w:customStyle="1" w:styleId="HeaderChar">
    <w:name w:val="Header Char"/>
    <w:basedOn w:val="DefaultParagraphFont"/>
    <w:link w:val="Header"/>
    <w:uiPriority w:val="99"/>
    <w:rsid w:val="00F5640A"/>
    <w:rPr>
      <w:rFonts w:ascii="Times New Roman" w:eastAsia="Times New Roman" w:hAnsi="Times New Roman" w:cs="Times New Roman"/>
    </w:rPr>
  </w:style>
  <w:style w:type="paragraph" w:styleId="Footer">
    <w:name w:val="footer"/>
    <w:basedOn w:val="Normal"/>
    <w:link w:val="FooterChar"/>
    <w:uiPriority w:val="99"/>
    <w:unhideWhenUsed/>
    <w:rsid w:val="00F5640A"/>
    <w:pPr>
      <w:tabs>
        <w:tab w:val="center" w:pos="4680"/>
        <w:tab w:val="right" w:pos="9360"/>
      </w:tabs>
    </w:pPr>
  </w:style>
  <w:style w:type="character" w:customStyle="1" w:styleId="FooterChar">
    <w:name w:val="Footer Char"/>
    <w:basedOn w:val="DefaultParagraphFont"/>
    <w:link w:val="Footer"/>
    <w:uiPriority w:val="99"/>
    <w:rsid w:val="00F5640A"/>
    <w:rPr>
      <w:rFonts w:ascii="Times New Roman" w:eastAsia="Times New Roman" w:hAnsi="Times New Roman" w:cs="Times New Roman"/>
    </w:rPr>
  </w:style>
  <w:style w:type="paragraph" w:styleId="NormalWeb">
    <w:name w:val="Normal (Web)"/>
    <w:basedOn w:val="Normal"/>
    <w:uiPriority w:val="99"/>
    <w:semiHidden/>
    <w:unhideWhenUsed/>
    <w:rsid w:val="00CB2DA6"/>
    <w:pPr>
      <w:widowControl/>
      <w:autoSpaceDE/>
      <w:autoSpaceDN/>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8631779">
      <w:bodyDiv w:val="1"/>
      <w:marLeft w:val="0"/>
      <w:marRight w:val="0"/>
      <w:marTop w:val="0"/>
      <w:marBottom w:val="0"/>
      <w:divBdr>
        <w:top w:val="none" w:sz="0" w:space="0" w:color="auto"/>
        <w:left w:val="none" w:sz="0" w:space="0" w:color="auto"/>
        <w:bottom w:val="none" w:sz="0" w:space="0" w:color="auto"/>
        <w:right w:val="none" w:sz="0" w:space="0" w:color="auto"/>
      </w:divBdr>
    </w:div>
    <w:div w:id="535429718">
      <w:bodyDiv w:val="1"/>
      <w:marLeft w:val="0"/>
      <w:marRight w:val="0"/>
      <w:marTop w:val="0"/>
      <w:marBottom w:val="0"/>
      <w:divBdr>
        <w:top w:val="none" w:sz="0" w:space="0" w:color="auto"/>
        <w:left w:val="none" w:sz="0" w:space="0" w:color="auto"/>
        <w:bottom w:val="none" w:sz="0" w:space="0" w:color="auto"/>
        <w:right w:val="none" w:sz="0" w:space="0" w:color="auto"/>
      </w:divBdr>
    </w:div>
    <w:div w:id="787745217">
      <w:bodyDiv w:val="1"/>
      <w:marLeft w:val="0"/>
      <w:marRight w:val="0"/>
      <w:marTop w:val="0"/>
      <w:marBottom w:val="0"/>
      <w:divBdr>
        <w:top w:val="none" w:sz="0" w:space="0" w:color="auto"/>
        <w:left w:val="none" w:sz="0" w:space="0" w:color="auto"/>
        <w:bottom w:val="none" w:sz="0" w:space="0" w:color="auto"/>
        <w:right w:val="none" w:sz="0" w:space="0" w:color="auto"/>
      </w:divBdr>
    </w:div>
    <w:div w:id="1286933335">
      <w:bodyDiv w:val="1"/>
      <w:marLeft w:val="0"/>
      <w:marRight w:val="0"/>
      <w:marTop w:val="0"/>
      <w:marBottom w:val="0"/>
      <w:divBdr>
        <w:top w:val="none" w:sz="0" w:space="0" w:color="auto"/>
        <w:left w:val="none" w:sz="0" w:space="0" w:color="auto"/>
        <w:bottom w:val="none" w:sz="0" w:space="0" w:color="auto"/>
        <w:right w:val="none" w:sz="0" w:space="0" w:color="auto"/>
      </w:divBdr>
    </w:div>
    <w:div w:id="21206370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orrowcountyhealthdistrict.org" TargetMode="External"/><Relationship Id="rId4" Type="http://schemas.openxmlformats.org/officeDocument/2006/relationships/settings" Target="settings.xml"/><Relationship Id="rId9" Type="http://schemas.openxmlformats.org/officeDocument/2006/relationships/hyperlink" Target="http://www.morrowcountyhealthdistrict.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206A1-E4E1-4EF0-BBCE-542601243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2943</Words>
  <Characters>16777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Erickson</dc:creator>
  <cp:lastModifiedBy>Natalia Wight</cp:lastModifiedBy>
  <cp:revision>2</cp:revision>
  <cp:lastPrinted>2017-06-23T00:41:00Z</cp:lastPrinted>
  <dcterms:created xsi:type="dcterms:W3CDTF">2023-09-07T17:00:00Z</dcterms:created>
  <dcterms:modified xsi:type="dcterms:W3CDTF">2023-09-07T17:00:00Z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2017-01-30T00:00:00Z</vt:filetime>
  </property>
  <property fmtid="{D5CDD505-2E9C-101B-9397-08002B2CF9AE}" pid="3" name="Creator">
    <vt:lpwstr>Acrobat PDFMaker 15 for Word</vt:lpwstr>
  </property>
  <property fmtid="{D5CDD505-2E9C-101B-9397-08002B2CF9AE}" pid="4" name="LastSaved">
    <vt:filetime>2017-06-05T00:00:00Z</vt:filetime>
  </property>
</Properties>
</file>